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87535" w14:textId="77777777" w:rsidR="000377D0" w:rsidRDefault="000377D0">
      <w:pPr>
        <w:widowControl w:val="0"/>
        <w:pBdr>
          <w:top w:val="nil"/>
          <w:left w:val="nil"/>
          <w:bottom w:val="nil"/>
          <w:right w:val="nil"/>
          <w:between w:val="nil"/>
        </w:pBdr>
        <w:spacing w:after="0" w:line="276" w:lineRule="auto"/>
        <w:rPr>
          <w:rFonts w:ascii="Arial" w:eastAsia="Arial" w:hAnsi="Arial" w:cs="Arial"/>
          <w:color w:val="000000"/>
          <w:sz w:val="22"/>
          <w:szCs w:val="22"/>
        </w:rPr>
      </w:pPr>
    </w:p>
    <w:tbl>
      <w:tblPr>
        <w:tblStyle w:val="4"/>
        <w:tblW w:w="85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64"/>
        <w:gridCol w:w="4008"/>
      </w:tblGrid>
      <w:tr w:rsidR="000377D0" w14:paraId="562A2D98" w14:textId="77777777" w:rsidTr="00306016">
        <w:trPr>
          <w:trHeight w:val="413"/>
        </w:trPr>
        <w:tc>
          <w:tcPr>
            <w:tcW w:w="4564" w:type="dxa"/>
          </w:tcPr>
          <w:p w14:paraId="2035504B" w14:textId="77777777" w:rsidR="000377D0" w:rsidRDefault="000377D0">
            <w:pPr>
              <w:pBdr>
                <w:top w:val="nil"/>
                <w:left w:val="nil"/>
                <w:bottom w:val="nil"/>
                <w:right w:val="nil"/>
                <w:between w:val="nil"/>
              </w:pBdr>
              <w:rPr>
                <w:color w:val="000000"/>
              </w:rPr>
            </w:pPr>
          </w:p>
        </w:tc>
        <w:tc>
          <w:tcPr>
            <w:tcW w:w="4008" w:type="dxa"/>
          </w:tcPr>
          <w:p w14:paraId="3855FF26" w14:textId="77777777" w:rsidR="000377D0" w:rsidRDefault="000377D0">
            <w:pPr>
              <w:pBdr>
                <w:top w:val="nil"/>
                <w:left w:val="nil"/>
                <w:bottom w:val="nil"/>
                <w:right w:val="nil"/>
                <w:between w:val="nil"/>
              </w:pBdr>
              <w:rPr>
                <w:color w:val="000000"/>
              </w:rPr>
            </w:pPr>
          </w:p>
        </w:tc>
      </w:tr>
      <w:tr w:rsidR="000377D0" w14:paraId="58710411" w14:textId="77777777" w:rsidTr="00306016">
        <w:trPr>
          <w:trHeight w:val="1226"/>
        </w:trPr>
        <w:tc>
          <w:tcPr>
            <w:tcW w:w="4564" w:type="dxa"/>
          </w:tcPr>
          <w:p w14:paraId="2B24036D" w14:textId="77777777" w:rsidR="000377D0" w:rsidRDefault="000377D0"/>
        </w:tc>
        <w:tc>
          <w:tcPr>
            <w:tcW w:w="4008" w:type="dxa"/>
          </w:tcPr>
          <w:p w14:paraId="1FA432F5" w14:textId="77777777" w:rsidR="000377D0" w:rsidRDefault="001A3C4E">
            <w:pPr>
              <w:pBdr>
                <w:top w:val="nil"/>
                <w:left w:val="nil"/>
                <w:bottom w:val="nil"/>
                <w:right w:val="nil"/>
                <w:between w:val="nil"/>
              </w:pBdr>
              <w:rPr>
                <w:color w:val="000000"/>
              </w:rPr>
            </w:pPr>
            <w:r>
              <w:rPr>
                <w:color w:val="000000"/>
              </w:rPr>
              <w:t>Infrastrukturdepartementet</w:t>
            </w:r>
          </w:p>
          <w:p w14:paraId="7943A9FB" w14:textId="77777777" w:rsidR="000377D0" w:rsidRDefault="00B117EC">
            <w:pPr>
              <w:pBdr>
                <w:top w:val="nil"/>
                <w:left w:val="nil"/>
                <w:bottom w:val="nil"/>
                <w:right w:val="nil"/>
                <w:between w:val="nil"/>
              </w:pBdr>
              <w:rPr>
                <w:color w:val="000000"/>
              </w:rPr>
            </w:pPr>
            <w:hyperlink r:id="rId11">
              <w:r w:rsidR="001A3C4E">
                <w:rPr>
                  <w:color w:val="0000FF"/>
                  <w:u w:val="single"/>
                </w:rPr>
                <w:t>i.remissvar@regeringskansliet.se</w:t>
              </w:r>
            </w:hyperlink>
            <w:r w:rsidR="001A3C4E">
              <w:rPr>
                <w:color w:val="000000"/>
              </w:rPr>
              <w:t xml:space="preserve"> </w:t>
            </w:r>
          </w:p>
          <w:p w14:paraId="45820676" w14:textId="77777777" w:rsidR="000377D0" w:rsidRDefault="00B117EC">
            <w:pPr>
              <w:pBdr>
                <w:top w:val="nil"/>
                <w:left w:val="nil"/>
                <w:bottom w:val="nil"/>
                <w:right w:val="nil"/>
                <w:between w:val="nil"/>
              </w:pBdr>
            </w:pPr>
            <w:hyperlink r:id="rId12" w:history="1">
              <w:r w:rsidR="00306016" w:rsidRPr="009E54D1">
                <w:rPr>
                  <w:rStyle w:val="Hyperlnk"/>
                </w:rPr>
                <w:t>i.esd.remisser@regeringskansliet.se</w:t>
              </w:r>
            </w:hyperlink>
            <w:r w:rsidR="00306016">
              <w:t xml:space="preserve"> </w:t>
            </w:r>
          </w:p>
          <w:p w14:paraId="4038A725" w14:textId="6593A6BB" w:rsidR="00306016" w:rsidRDefault="00B117EC">
            <w:pPr>
              <w:pBdr>
                <w:top w:val="nil"/>
                <w:left w:val="nil"/>
                <w:bottom w:val="nil"/>
                <w:right w:val="nil"/>
                <w:between w:val="nil"/>
              </w:pBdr>
              <w:rPr>
                <w:color w:val="000000"/>
              </w:rPr>
            </w:pPr>
            <w:hyperlink r:id="rId13" w:history="1">
              <w:r w:rsidR="00306016" w:rsidRPr="009E54D1">
                <w:rPr>
                  <w:rStyle w:val="Hyperlnk"/>
                </w:rPr>
                <w:t>ingela.alverfors@regeringskansliet.se</w:t>
              </w:r>
            </w:hyperlink>
            <w:r w:rsidR="00306016">
              <w:rPr>
                <w:color w:val="000000"/>
              </w:rPr>
              <w:t xml:space="preserve"> </w:t>
            </w:r>
          </w:p>
        </w:tc>
      </w:tr>
      <w:tr w:rsidR="000377D0" w14:paraId="16DBBBF6" w14:textId="77777777" w:rsidTr="00306016">
        <w:trPr>
          <w:trHeight w:val="1300"/>
        </w:trPr>
        <w:tc>
          <w:tcPr>
            <w:tcW w:w="4564" w:type="dxa"/>
          </w:tcPr>
          <w:p w14:paraId="2A44CC50" w14:textId="77777777" w:rsidR="000377D0" w:rsidRDefault="000377D0"/>
          <w:p w14:paraId="50D022A4" w14:textId="77777777" w:rsidR="00306016" w:rsidRDefault="00306016" w:rsidP="00306016"/>
          <w:p w14:paraId="02B5E0EA" w14:textId="5BCDDAE6" w:rsidR="00306016" w:rsidRPr="00306016" w:rsidRDefault="00306016" w:rsidP="00306016">
            <w:pPr>
              <w:tabs>
                <w:tab w:val="left" w:pos="1716"/>
              </w:tabs>
            </w:pPr>
            <w:r>
              <w:tab/>
            </w:r>
          </w:p>
        </w:tc>
        <w:tc>
          <w:tcPr>
            <w:tcW w:w="4008" w:type="dxa"/>
          </w:tcPr>
          <w:p w14:paraId="1682113B" w14:textId="77777777" w:rsidR="000377D0" w:rsidRDefault="000377D0"/>
        </w:tc>
      </w:tr>
    </w:tbl>
    <w:p w14:paraId="06C68757" w14:textId="67A2D53B" w:rsidR="000377D0" w:rsidRPr="009D12A7" w:rsidRDefault="001A3C4E">
      <w:pPr>
        <w:pStyle w:val="Rubrik3"/>
        <w:rPr>
          <w:rStyle w:val="Stark"/>
        </w:rPr>
      </w:pPr>
      <w:r w:rsidRPr="009D12A7">
        <w:rPr>
          <w:rStyle w:val="Stark"/>
        </w:rPr>
        <w:t xml:space="preserve">Remissvar  </w:t>
      </w:r>
    </w:p>
    <w:p w14:paraId="6DCEDD6C" w14:textId="74A90C72" w:rsidR="00F97155" w:rsidRDefault="00F97155">
      <w:pPr>
        <w:rPr>
          <w:rFonts w:ascii="Arial" w:eastAsia="Arial" w:hAnsi="Arial" w:cs="Arial"/>
          <w:b/>
          <w:color w:val="000000"/>
          <w:sz w:val="32"/>
          <w:szCs w:val="32"/>
        </w:rPr>
      </w:pPr>
      <w:bookmarkStart w:id="0" w:name="gjdgxs" w:colFirst="0" w:colLast="0"/>
      <w:bookmarkEnd w:id="0"/>
      <w:r w:rsidRPr="00F97155">
        <w:rPr>
          <w:rFonts w:ascii="Arial" w:eastAsia="Arial" w:hAnsi="Arial" w:cs="Arial"/>
          <w:b/>
          <w:color w:val="000000"/>
          <w:sz w:val="32"/>
          <w:szCs w:val="32"/>
        </w:rPr>
        <w:t>Säker och kostnadseffektiv it-drift</w:t>
      </w:r>
      <w:r>
        <w:rPr>
          <w:rFonts w:ascii="Arial" w:eastAsia="Arial" w:hAnsi="Arial" w:cs="Arial"/>
          <w:b/>
          <w:color w:val="000000"/>
          <w:sz w:val="32"/>
          <w:szCs w:val="32"/>
        </w:rPr>
        <w:t xml:space="preserve"> </w:t>
      </w:r>
      <w:r w:rsidRPr="00F97155">
        <w:rPr>
          <w:rFonts w:ascii="Arial" w:eastAsia="Arial" w:hAnsi="Arial" w:cs="Arial"/>
          <w:b/>
          <w:color w:val="000000"/>
          <w:sz w:val="32"/>
          <w:szCs w:val="32"/>
        </w:rPr>
        <w:t xml:space="preserve">– rättsliga förutsättningar för utkontraktering </w:t>
      </w:r>
      <w:r>
        <w:rPr>
          <w:rFonts w:ascii="Arial" w:eastAsia="Arial" w:hAnsi="Arial" w:cs="Arial"/>
          <w:b/>
          <w:color w:val="000000"/>
          <w:sz w:val="32"/>
          <w:szCs w:val="32"/>
        </w:rPr>
        <w:t>(SOU 2021:1)</w:t>
      </w:r>
    </w:p>
    <w:p w14:paraId="61BAC288" w14:textId="60468D92" w:rsidR="000377D0" w:rsidRDefault="001A3C4E">
      <w:r>
        <w:t xml:space="preserve">IT&amp;Telekomföretagen tackar för möjligheten att yttra sig om </w:t>
      </w:r>
      <w:r w:rsidR="00F97155">
        <w:t>delbetänkandet</w:t>
      </w:r>
      <w:r>
        <w:t xml:space="preserve">. </w:t>
      </w:r>
    </w:p>
    <w:p w14:paraId="7636EF4E" w14:textId="264ED421" w:rsidR="006B47F8" w:rsidRPr="00CB4B77" w:rsidRDefault="006B47F8" w:rsidP="00CB4B77">
      <w:pPr>
        <w:pStyle w:val="Rubrik2"/>
        <w:rPr>
          <w:rStyle w:val="Stark"/>
          <w:bCs w:val="0"/>
        </w:rPr>
      </w:pPr>
      <w:r w:rsidRPr="00CB4B77">
        <w:rPr>
          <w:rStyle w:val="Stark"/>
          <w:bCs w:val="0"/>
        </w:rPr>
        <w:t>Sammanfattning</w:t>
      </w:r>
      <w:r w:rsidR="00CB4B77">
        <w:rPr>
          <w:rStyle w:val="Stark"/>
          <w:bCs w:val="0"/>
        </w:rPr>
        <w:t xml:space="preserve"> av synpunkter</w:t>
      </w:r>
    </w:p>
    <w:p w14:paraId="34198093" w14:textId="000C8E70" w:rsidR="00CB4B77" w:rsidRDefault="00481687" w:rsidP="00481687">
      <w:pPr>
        <w:pStyle w:val="Liststycke"/>
        <w:numPr>
          <w:ilvl w:val="0"/>
          <w:numId w:val="4"/>
        </w:numPr>
      </w:pPr>
      <w:r w:rsidRPr="00481687">
        <w:rPr>
          <w:b/>
          <w:bCs/>
        </w:rPr>
        <w:t xml:space="preserve">IT&amp;Telekomföretagen tillstyrker utredningens förslag om </w:t>
      </w:r>
      <w:r w:rsidR="007F03EE">
        <w:rPr>
          <w:b/>
          <w:bCs/>
        </w:rPr>
        <w:t xml:space="preserve">ändring </w:t>
      </w:r>
      <w:r w:rsidRPr="00481687">
        <w:rPr>
          <w:b/>
          <w:bCs/>
        </w:rPr>
        <w:t xml:space="preserve">i </w:t>
      </w:r>
      <w:r w:rsidR="00ED043B">
        <w:rPr>
          <w:b/>
          <w:bCs/>
        </w:rPr>
        <w:t>offentlighets- och sekretesslagen (2009:400)</w:t>
      </w:r>
      <w:r w:rsidRPr="00481687">
        <w:rPr>
          <w:b/>
          <w:bCs/>
        </w:rPr>
        <w:t>.</w:t>
      </w:r>
      <w:r>
        <w:t xml:space="preserve"> Enligt vår mening kommer utredningens förslag </w:t>
      </w:r>
      <w:r w:rsidR="007F03EE">
        <w:t xml:space="preserve">om nya bestämmelser avseende sekretessbrytning </w:t>
      </w:r>
      <w:r>
        <w:t>sannolikt åstadkomma en ökad rättslig tydlighet för utkontraktering av IT-drift. Vilket är mycket eftersökt av våra medlemsföretag och branschen i sin helhet.</w:t>
      </w:r>
    </w:p>
    <w:p w14:paraId="7129B278" w14:textId="47A1704E" w:rsidR="00481687" w:rsidRDefault="00481687" w:rsidP="00481687">
      <w:pPr>
        <w:pStyle w:val="Liststycke"/>
        <w:numPr>
          <w:ilvl w:val="0"/>
          <w:numId w:val="4"/>
        </w:numPr>
      </w:pPr>
      <w:r w:rsidRPr="00481687">
        <w:rPr>
          <w:b/>
          <w:bCs/>
        </w:rPr>
        <w:t>Den fortsatta beredningens av utredningens förslag bör hanteras så skyndsamt som möjligt.</w:t>
      </w:r>
      <w:r>
        <w:t xml:space="preserve"> Sedan en längre tid är den offentliga marknaden för IT-driftstjänster knappt fungerande på grund av den rättliga osäkerheten. Det kostar samhället miljardbelopp. Inte minst bromsas den så viktiga digitaliseringens av svensk offentlig sektor. </w:t>
      </w:r>
      <w:r w:rsidRPr="00481687">
        <w:t>Utredningens författningsförslag bör därför expedieras och omsättas i lag snarast möjlig</w:t>
      </w:r>
      <w:r>
        <w:t>.</w:t>
      </w:r>
    </w:p>
    <w:p w14:paraId="34CFEFDE" w14:textId="07444FDD" w:rsidR="00481687" w:rsidRPr="00481687" w:rsidRDefault="00481687" w:rsidP="00481687">
      <w:pPr>
        <w:pStyle w:val="Liststycke"/>
        <w:numPr>
          <w:ilvl w:val="0"/>
          <w:numId w:val="4"/>
        </w:numPr>
      </w:pPr>
      <w:r>
        <w:rPr>
          <w:b/>
          <w:bCs/>
        </w:rPr>
        <w:t xml:space="preserve">Utredningens författningsförslag bör kompletteras med stödåtgärder för att underlätta myndigheternas genomförande av intresseavvägningar. </w:t>
      </w:r>
    </w:p>
    <w:p w14:paraId="7B3B103C" w14:textId="27EFE993" w:rsidR="00CB4B77" w:rsidRDefault="00EE1401" w:rsidP="00CB4B77">
      <w:pPr>
        <w:pStyle w:val="Rubrik2"/>
        <w:rPr>
          <w:rStyle w:val="Stark"/>
          <w:bCs w:val="0"/>
        </w:rPr>
      </w:pPr>
      <w:r w:rsidRPr="00CB4B77">
        <w:rPr>
          <w:rStyle w:val="Stark"/>
          <w:bCs w:val="0"/>
        </w:rPr>
        <w:t>Allmän kommentar</w:t>
      </w:r>
      <w:r w:rsidR="004C0212" w:rsidRPr="00CB4B77">
        <w:rPr>
          <w:rStyle w:val="Stark"/>
          <w:bCs w:val="0"/>
        </w:rPr>
        <w:t xml:space="preserve"> </w:t>
      </w:r>
    </w:p>
    <w:p w14:paraId="3C61C3F9" w14:textId="52CAEA61" w:rsidR="00A14F2E" w:rsidRDefault="00CB4B77" w:rsidP="00A14F2E">
      <w:pPr>
        <w:pStyle w:val="Default"/>
      </w:pPr>
      <w:r>
        <w:t xml:space="preserve">En förutsättning för en säker och </w:t>
      </w:r>
      <w:r w:rsidR="00481687">
        <w:t>kostnads</w:t>
      </w:r>
      <w:r>
        <w:t xml:space="preserve">effektiv digitalisering av offentlig </w:t>
      </w:r>
      <w:r w:rsidR="00A14F2E">
        <w:t xml:space="preserve">sektor </w:t>
      </w:r>
      <w:r>
        <w:t xml:space="preserve">är att nyttja en smart kombination av olika driftsmiljöer där molntjänster utgör ett av de viktigaste leveransalternativen. </w:t>
      </w:r>
      <w:r w:rsidR="00E21BB5">
        <w:t xml:space="preserve">Användningen av molntjänster </w:t>
      </w:r>
      <w:r w:rsidR="00481687">
        <w:t xml:space="preserve">har det senaste decenniet </w:t>
      </w:r>
      <w:r w:rsidR="00E21BB5">
        <w:t>ökat kraftigt</w:t>
      </w:r>
      <w:r w:rsidR="00A14F2E">
        <w:t xml:space="preserve"> och </w:t>
      </w:r>
      <w:r w:rsidR="00E21BB5">
        <w:t xml:space="preserve">är </w:t>
      </w:r>
      <w:r w:rsidR="00A14F2E">
        <w:t xml:space="preserve">idag </w:t>
      </w:r>
      <w:r w:rsidR="00E21BB5">
        <w:t xml:space="preserve">en </w:t>
      </w:r>
      <w:r w:rsidR="00481687">
        <w:t xml:space="preserve">central </w:t>
      </w:r>
      <w:r w:rsidR="007F03EE">
        <w:t>beståndsdel</w:t>
      </w:r>
      <w:r w:rsidR="00A14F2E">
        <w:t xml:space="preserve"> i den digitala </w:t>
      </w:r>
      <w:r w:rsidR="00E21BB5">
        <w:t>infrastruktur</w:t>
      </w:r>
      <w:r w:rsidR="00A14F2E">
        <w:t xml:space="preserve">en. </w:t>
      </w:r>
      <w:r w:rsidR="007F03EE">
        <w:t>E</w:t>
      </w:r>
      <w:r w:rsidR="00A14F2E" w:rsidRPr="00A14F2E">
        <w:t xml:space="preserve">n stor del av morgondagens IT-tjänster kommer att </w:t>
      </w:r>
      <w:r w:rsidR="007F03EE">
        <w:t xml:space="preserve">utvecklas och </w:t>
      </w:r>
      <w:r w:rsidR="00A14F2E" w:rsidRPr="00A14F2E">
        <w:t xml:space="preserve">levereras genom </w:t>
      </w:r>
      <w:r w:rsidR="00A14F2E">
        <w:t xml:space="preserve">kommersiella </w:t>
      </w:r>
      <w:r w:rsidR="00A14F2E" w:rsidRPr="00A14F2E">
        <w:t>molntjänster.</w:t>
      </w:r>
      <w:r w:rsidR="007F03EE">
        <w:t xml:space="preserve"> Att genom tydliga </w:t>
      </w:r>
      <w:r w:rsidR="007F03EE">
        <w:lastRenderedPageBreak/>
        <w:t xml:space="preserve">och hållbara regler framtidssäkra offentlig sektors tillgång till dessa tjänster bör därför ses som ett samhällsintresse.  </w:t>
      </w:r>
    </w:p>
    <w:p w14:paraId="7EEAED70" w14:textId="77777777" w:rsidR="00A14F2E" w:rsidRDefault="00A14F2E" w:rsidP="00A14F2E">
      <w:pPr>
        <w:pStyle w:val="Default"/>
      </w:pPr>
    </w:p>
    <w:p w14:paraId="4BA43730" w14:textId="201799C5" w:rsidR="007F03EE" w:rsidRDefault="009C73F9" w:rsidP="00A14F2E">
      <w:pPr>
        <w:pStyle w:val="Default"/>
      </w:pPr>
      <w:r>
        <w:t xml:space="preserve">En </w:t>
      </w:r>
      <w:r w:rsidR="00033BF6">
        <w:t xml:space="preserve">som </w:t>
      </w:r>
      <w:r>
        <w:t xml:space="preserve">utmaning </w:t>
      </w:r>
      <w:r w:rsidR="007F03EE">
        <w:t xml:space="preserve">uppstått till följd av kraftigt ökad </w:t>
      </w:r>
      <w:r w:rsidR="00A14F2E">
        <w:t xml:space="preserve">dataanvändning och </w:t>
      </w:r>
      <w:r>
        <w:t xml:space="preserve">internationella dataflöden är friktion mellan olika regelverk och jurisdiktioner. </w:t>
      </w:r>
      <w:r w:rsidR="007F03EE">
        <w:t xml:space="preserve">Något som </w:t>
      </w:r>
      <w:r>
        <w:t>allvarligt riskerar att hämma den digitala utvecklingen. Att r</w:t>
      </w:r>
      <w:r w:rsidR="00E21BB5">
        <w:t xml:space="preserve">egeringen </w:t>
      </w:r>
      <w:r w:rsidR="00A14F2E">
        <w:t xml:space="preserve">låter utreda </w:t>
      </w:r>
      <w:r w:rsidR="00E21BB5">
        <w:t xml:space="preserve">de rättsliga förutsättningarna för att </w:t>
      </w:r>
      <w:r w:rsidR="00A14F2E">
        <w:t xml:space="preserve">myndigheter, kommuner och regioner </w:t>
      </w:r>
      <w:r w:rsidR="00E21BB5">
        <w:t xml:space="preserve">med ökad rättslig trygghet fortsatt ska kunna utkontraktera sin IT-drift är något som IT&amp;Telekomföretagen </w:t>
      </w:r>
      <w:r>
        <w:t xml:space="preserve">därför </w:t>
      </w:r>
      <w:r w:rsidR="00E21BB5">
        <w:t xml:space="preserve">ser mycket positivt på. </w:t>
      </w:r>
    </w:p>
    <w:p w14:paraId="15495AEF" w14:textId="77777777" w:rsidR="007F03EE" w:rsidRDefault="007F03EE" w:rsidP="00A14F2E">
      <w:pPr>
        <w:pStyle w:val="Default"/>
      </w:pPr>
    </w:p>
    <w:p w14:paraId="3DD06E2C" w14:textId="75E60B38" w:rsidR="00A14F2E" w:rsidRDefault="00A14F2E" w:rsidP="00A14F2E">
      <w:pPr>
        <w:pStyle w:val="Default"/>
      </w:pPr>
      <w:r>
        <w:t xml:space="preserve">Tydliga och hållbara regler är en absolut förutsättning för att techbranschen fullt ut ska kunna bidra till offentlig sektors digitalisering. </w:t>
      </w:r>
    </w:p>
    <w:p w14:paraId="797D4196" w14:textId="554A15D2" w:rsidR="00A14F2E" w:rsidRDefault="00A14F2E" w:rsidP="00A14F2E">
      <w:pPr>
        <w:pStyle w:val="Default"/>
      </w:pPr>
    </w:p>
    <w:p w14:paraId="1D8C51A8" w14:textId="18714D5F" w:rsidR="004C0212" w:rsidRDefault="003C4F98" w:rsidP="00481687">
      <w:pPr>
        <w:pStyle w:val="Rubrik2"/>
        <w:rPr>
          <w:rStyle w:val="Stark"/>
          <w:bCs w:val="0"/>
        </w:rPr>
      </w:pPr>
      <w:r w:rsidRPr="00CB4B77">
        <w:rPr>
          <w:rStyle w:val="Stark"/>
          <w:bCs w:val="0"/>
        </w:rPr>
        <w:t xml:space="preserve">Kommentar </w:t>
      </w:r>
      <w:r w:rsidR="00481687">
        <w:rPr>
          <w:rStyle w:val="Stark"/>
          <w:bCs w:val="0"/>
        </w:rPr>
        <w:t>till utredningens författningsförslag</w:t>
      </w:r>
    </w:p>
    <w:p w14:paraId="089B72D2" w14:textId="4CBEB9FB" w:rsidR="00481687" w:rsidRDefault="00481687" w:rsidP="00481687">
      <w:r>
        <w:t xml:space="preserve">IT&amp;Telekomföretagen tillstyrker utredningens författningsförslag. </w:t>
      </w:r>
    </w:p>
    <w:p w14:paraId="78958BB6" w14:textId="7FA449F6" w:rsidR="00481687" w:rsidRDefault="00481687" w:rsidP="00481687">
      <w:r>
        <w:t>En kompletterande bestämmelse om sekretessbrytning, såsom den är utformad i förslaget, bedömer vi skulle öka den rättliga tydligheten på den offentliga marknaden för utkontraktering av IT-drift. Vi delar utredningens bedömning att en sådan bestämmelse skulle underlätta att lämna ut uppgifter vid utkontraktering. Vilket långsiktigt skulle gynna den offentliga IT-driftsmarknaden som helhet. Den rättsliga osäkerheten, inte minst hos offentliga beställarorganisationer, har sedan ett antal år kraftigt kylt av marknaden. Det medför stora kostnader. Enligt analysföretaget Radar Group uppgår de direkta kostnaderna till följd av den rättsliga osäkerheten årligen till fler</w:t>
      </w:r>
      <w:r w:rsidR="00461D7D">
        <w:t>a</w:t>
      </w:r>
      <w:r>
        <w:t xml:space="preserve"> miljarder kronor.</w:t>
      </w:r>
      <w:r>
        <w:rPr>
          <w:rStyle w:val="Fotnotsreferens"/>
        </w:rPr>
        <w:footnoteReference w:id="1"/>
      </w:r>
      <w:r>
        <w:t xml:space="preserve"> De indirekta kostnaderna, inte minst för förseningen av offentlig sektors digitalisering, är sannolikt mångdubbelt större. Att den kompletterande sekretessbrytande bestämmelsen bli </w:t>
      </w:r>
      <w:r w:rsidRPr="007F03EE">
        <w:rPr>
          <w:i/>
          <w:iCs/>
        </w:rPr>
        <w:t>tillämpbar</w:t>
      </w:r>
      <w:r>
        <w:t xml:space="preserve"> är därför av största vikt.</w:t>
      </w:r>
    </w:p>
    <w:p w14:paraId="7D6090B8" w14:textId="4A3CA1A2" w:rsidR="00403850" w:rsidRPr="00403850" w:rsidRDefault="00403850" w:rsidP="00481687">
      <w:pPr>
        <w:rPr>
          <w:b/>
          <w:bCs/>
        </w:rPr>
      </w:pPr>
      <w:r w:rsidRPr="00403850">
        <w:rPr>
          <w:b/>
          <w:bCs/>
        </w:rPr>
        <w:t>Behov av stöd för myndigheterna vid intresseavvägningar</w:t>
      </w:r>
    </w:p>
    <w:p w14:paraId="75F646F0" w14:textId="20A58C04" w:rsidR="00481687" w:rsidRPr="00481687" w:rsidRDefault="00481687" w:rsidP="00481687">
      <w:r>
        <w:t xml:space="preserve">Om bestämmelsen, vilken ska ge ett ökat stöd för upphandlande myndigheter att göra intresseavvägningar mellan behov av sekretesskydd och möjlighet till utkontraktering, ska fylla sin funktion är det avgörande att myndigheterna ges stöd, kompetens och resurser att fullt ut genomföra adekvata intresseavvägningar. Här lägger utredningen inte fram några konkreta förslag, utan pekar på </w:t>
      </w:r>
      <w:r w:rsidR="007F03EE">
        <w:t xml:space="preserve">att </w:t>
      </w:r>
      <w:r>
        <w:t xml:space="preserve">det </w:t>
      </w:r>
      <w:r w:rsidR="007F03EE">
        <w:t xml:space="preserve">kan komma att adresseras i utredningens </w:t>
      </w:r>
      <w:r>
        <w:t xml:space="preserve">slutbetänkande. Från IT&amp;Telekomföretagen vill vi påtala det stora behovet av att de kompletterande bestämmelserna blir praktiskt tillämpbara </w:t>
      </w:r>
      <w:r w:rsidR="007F03EE">
        <w:t xml:space="preserve">för </w:t>
      </w:r>
      <w:r>
        <w:t>myndigheterna</w:t>
      </w:r>
      <w:r w:rsidR="007F03EE">
        <w:t xml:space="preserve"> – och att de även </w:t>
      </w:r>
      <w:r w:rsidR="007F03EE" w:rsidRPr="007F03EE">
        <w:rPr>
          <w:i/>
          <w:iCs/>
        </w:rPr>
        <w:t>i praktiken</w:t>
      </w:r>
      <w:r w:rsidR="007F03EE">
        <w:t xml:space="preserve"> möjliggör utkontraktering av IT-drift.</w:t>
      </w:r>
      <w:r>
        <w:t xml:space="preserve"> Att det beaktas i slutbetänkandet är högst nödvändigt. Annars riskerar nyttan av de nya bestämmelserna att bli begränsa</w:t>
      </w:r>
      <w:r w:rsidR="00033BF6">
        <w:t>d</w:t>
      </w:r>
      <w:r>
        <w:t>.</w:t>
      </w:r>
    </w:p>
    <w:p w14:paraId="22EEA684" w14:textId="74723C60" w:rsidR="00481687" w:rsidRDefault="00481687" w:rsidP="00481687">
      <w:r>
        <w:lastRenderedPageBreak/>
        <w:t xml:space="preserve">I utredningens myndighetskartläggning beskrivs hur statliga myndigheter ser kompetensbrist som ett stort hinder för bla upprätthållandet av en säker IT-drift och förmågan att informationsklassa de uppgifter man ansvarar för. </w:t>
      </w:r>
      <w:r w:rsidR="007B0D9F">
        <w:t>D</w:t>
      </w:r>
      <w:r>
        <w:t xml:space="preserve">e föreslagna bestämmelserna </w:t>
      </w:r>
      <w:r w:rsidR="007B0D9F">
        <w:t xml:space="preserve">riskerar att brista i ändamålsenlighet om </w:t>
      </w:r>
      <w:r>
        <w:t>de på grund av kompetensbristen hos myndigheterna i praktiken inte går att användas enligt lagstiftarens intention</w:t>
      </w:r>
      <w:r w:rsidR="007B0D9F">
        <w:t xml:space="preserve"> (det vill säga att faktiskt </w:t>
      </w:r>
      <w:r w:rsidR="007B0D9F" w:rsidRPr="007B0D9F">
        <w:rPr>
          <w:i/>
          <w:iCs/>
        </w:rPr>
        <w:t>möjliggöra</w:t>
      </w:r>
      <w:r w:rsidR="007B0D9F">
        <w:t xml:space="preserve"> utkontraktering)</w:t>
      </w:r>
      <w:r>
        <w:t>. Man måste i sammanhanget ha stor respekt för den legala komplexitet som myndigheten kan komma att behöva ta ställning till. Det räcker med att läsa utredningens</w:t>
      </w:r>
      <w:r w:rsidR="00132EA3">
        <w:t xml:space="preserve"> </w:t>
      </w:r>
      <w:r>
        <w:t>rättsliga analys</w:t>
      </w:r>
      <w:r w:rsidR="00132EA3">
        <w:t xml:space="preserve"> </w:t>
      </w:r>
      <w:r>
        <w:t>för att inse att intresseavvägningarna, beroende på verksamhet, typ av uppgifter</w:t>
      </w:r>
      <w:r w:rsidR="00132EA3">
        <w:t xml:space="preserve">, </w:t>
      </w:r>
      <w:r>
        <w:t xml:space="preserve">med mera, ställer stora krav på såväl teknisk som legal expertis. En kompetens som många myndigheter och andra offentliga organisationer </w:t>
      </w:r>
      <w:r w:rsidR="007B0D9F">
        <w:t xml:space="preserve">enligt dem själva idag </w:t>
      </w:r>
      <w:r>
        <w:t>inte besitter</w:t>
      </w:r>
      <w:r w:rsidR="007B0D9F">
        <w:t xml:space="preserve"> (se till exempel enkätsvaren i utredningens myndighetskartläggning)</w:t>
      </w:r>
      <w:r>
        <w:t>.</w:t>
      </w:r>
    </w:p>
    <w:p w14:paraId="3FCCEC6D" w14:textId="3B1C8736" w:rsidR="00CB4B77" w:rsidRDefault="00481687" w:rsidP="00481687">
      <w:r>
        <w:t xml:space="preserve">En tänkbar konsekvens av bristande kompetens är att en myndighet avstår från utkontraktering, eller väljer att nyttja en statlig samordningslösning istället för en marknadslösning, enbart eller till stor del på grund av att man är osäker på vad man får göra eller inte. Skulle det ske i större omfattning kan det få starkt negativa konsekvenser för såväl offentlig sektors förmåga till digitalisering som den offentliga IT-driftsmarknadens utveckling sett till omsättning, antal upphandlingsanbud och så vidare. </w:t>
      </w:r>
    </w:p>
    <w:p w14:paraId="01E562B3" w14:textId="21D0C63A" w:rsidR="00481687" w:rsidRPr="00481687" w:rsidRDefault="00481687" w:rsidP="00481687">
      <w:pPr>
        <w:rPr>
          <w:rStyle w:val="Stark"/>
          <w:b w:val="0"/>
          <w:bCs w:val="0"/>
        </w:rPr>
      </w:pPr>
      <w:r>
        <w:rPr>
          <w:rStyle w:val="Stark"/>
          <w:b w:val="0"/>
          <w:bCs w:val="0"/>
        </w:rPr>
        <w:t xml:space="preserve">IT&amp;Telekomföretagen vill därför påtala </w:t>
      </w:r>
      <w:r w:rsidR="00403850">
        <w:rPr>
          <w:rStyle w:val="Stark"/>
          <w:b w:val="0"/>
          <w:bCs w:val="0"/>
        </w:rPr>
        <w:t>betydelsen</w:t>
      </w:r>
      <w:r>
        <w:rPr>
          <w:rStyle w:val="Stark"/>
          <w:b w:val="0"/>
          <w:bCs w:val="0"/>
        </w:rPr>
        <w:t xml:space="preserve"> av att utredningen i sitt slutbetänkande lägger förslag om </w:t>
      </w:r>
      <w:r w:rsidR="007B0D9F">
        <w:rPr>
          <w:rStyle w:val="Stark"/>
          <w:b w:val="0"/>
          <w:bCs w:val="0"/>
        </w:rPr>
        <w:t xml:space="preserve">att </w:t>
      </w:r>
      <w:r>
        <w:rPr>
          <w:rStyle w:val="Stark"/>
          <w:b w:val="0"/>
          <w:bCs w:val="0"/>
        </w:rPr>
        <w:t>myndigheter, kommuner och regioner i deras intresseavvägningar mellan behovet av sekretesskydd och utkontraktering</w:t>
      </w:r>
      <w:r w:rsidR="00403850">
        <w:rPr>
          <w:rStyle w:val="Stark"/>
          <w:b w:val="0"/>
          <w:bCs w:val="0"/>
        </w:rPr>
        <w:t xml:space="preserve"> ska erbjudas stöd och vägledning</w:t>
      </w:r>
      <w:r>
        <w:rPr>
          <w:rStyle w:val="Stark"/>
          <w:b w:val="0"/>
          <w:bCs w:val="0"/>
        </w:rPr>
        <w:t xml:space="preserve">. </w:t>
      </w:r>
    </w:p>
    <w:p w14:paraId="67B554DC" w14:textId="78CA988F" w:rsidR="00CB4B77" w:rsidRDefault="00CB4B77" w:rsidP="00CB4B77">
      <w:pPr>
        <w:pStyle w:val="Rubrik2"/>
        <w:rPr>
          <w:rStyle w:val="Stark"/>
          <w:bCs w:val="0"/>
        </w:rPr>
      </w:pPr>
      <w:r w:rsidRPr="00CB4B77">
        <w:rPr>
          <w:rStyle w:val="Stark"/>
          <w:bCs w:val="0"/>
        </w:rPr>
        <w:t xml:space="preserve">Kommentar </w:t>
      </w:r>
      <w:r w:rsidR="00481687">
        <w:rPr>
          <w:rStyle w:val="Stark"/>
          <w:bCs w:val="0"/>
        </w:rPr>
        <w:t xml:space="preserve">till utredningens förslag om </w:t>
      </w:r>
      <w:r w:rsidRPr="00CB4B77">
        <w:rPr>
          <w:rStyle w:val="Stark"/>
          <w:bCs w:val="0"/>
        </w:rPr>
        <w:t>ikraftträdande</w:t>
      </w:r>
    </w:p>
    <w:p w14:paraId="3EEA23D6" w14:textId="73A63895" w:rsidR="00CB4B77" w:rsidRPr="00481687" w:rsidRDefault="00481687" w:rsidP="00481687">
      <w:pPr>
        <w:pStyle w:val="Default"/>
        <w:rPr>
          <w:rStyle w:val="Stark"/>
          <w:b w:val="0"/>
          <w:bCs w:val="0"/>
        </w:rPr>
      </w:pPr>
      <w:r>
        <w:t xml:space="preserve">Utredningens föreslår 1 januari 2022 som datum för ikraftträdande av de föreslagna bestämmelserna. Mot bakgrund av de kostnader och problem som uppstått till följd av den rådande regulatoriska osäkerheten </w:t>
      </w:r>
      <w:r w:rsidR="007B0D9F">
        <w:t xml:space="preserve">hos såväl leverantörer som offentliga kunder </w:t>
      </w:r>
      <w:r>
        <w:t xml:space="preserve">vill IT&amp;Telekomföretagen uppmana regeringen att den fortsatta beredningen av utredningens förslag ges hög prioritet och de resurser som krävs för att så snart som möjligt få till stånd ett ikraftträdande. </w:t>
      </w:r>
    </w:p>
    <w:p w14:paraId="4A1331AF" w14:textId="7579633F" w:rsidR="00AA7469" w:rsidRDefault="00AA7469" w:rsidP="00AA7469">
      <w:pPr>
        <w:rPr>
          <w:rStyle w:val="Stark"/>
          <w:b w:val="0"/>
          <w:bCs w:val="0"/>
        </w:rPr>
      </w:pPr>
    </w:p>
    <w:p w14:paraId="4CE16145" w14:textId="7D5D77CB" w:rsidR="00AA7469" w:rsidRDefault="00AA7469" w:rsidP="00AA7469">
      <w:pPr>
        <w:rPr>
          <w:rStyle w:val="Stark"/>
          <w:b w:val="0"/>
          <w:bCs w:val="0"/>
        </w:rPr>
      </w:pPr>
    </w:p>
    <w:p w14:paraId="4D30AB07" w14:textId="77777777" w:rsidR="00AA7469" w:rsidRDefault="00AA7469" w:rsidP="00AA7469">
      <w:pPr>
        <w:rPr>
          <w:rStyle w:val="Stark"/>
          <w:b w:val="0"/>
          <w:bCs w:val="0"/>
        </w:rPr>
      </w:pPr>
    </w:p>
    <w:p w14:paraId="05C1A58D" w14:textId="570746B6" w:rsidR="00AA7469" w:rsidRDefault="00AA7469" w:rsidP="00AA7469">
      <w:pPr>
        <w:rPr>
          <w:rStyle w:val="Stark"/>
          <w:b w:val="0"/>
          <w:bCs w:val="0"/>
        </w:rPr>
        <w:sectPr w:rsidR="00AA7469">
          <w:headerReference w:type="default" r:id="rId14"/>
          <w:headerReference w:type="first" r:id="rId15"/>
          <w:footerReference w:type="first" r:id="rId16"/>
          <w:pgSz w:w="11906" w:h="16838"/>
          <w:pgMar w:top="1552" w:right="1985" w:bottom="1134" w:left="1985" w:header="567" w:footer="567" w:gutter="0"/>
          <w:pgNumType w:start="1"/>
          <w:cols w:space="720"/>
          <w:titlePg/>
        </w:sectPr>
      </w:pPr>
    </w:p>
    <w:p w14:paraId="7074BBA3" w14:textId="30A43140" w:rsidR="00AA7469" w:rsidRDefault="00AA7469" w:rsidP="00AA7469">
      <w:pPr>
        <w:pStyle w:val="Ingetavstnd"/>
        <w:rPr>
          <w:rStyle w:val="Stark"/>
          <w:b w:val="0"/>
          <w:bCs w:val="0"/>
        </w:rPr>
      </w:pPr>
      <w:r>
        <w:rPr>
          <w:rStyle w:val="Stark"/>
          <w:b w:val="0"/>
          <w:bCs w:val="0"/>
        </w:rPr>
        <w:t>Christina Ramm-Ericsson</w:t>
      </w:r>
    </w:p>
    <w:p w14:paraId="5715E812" w14:textId="67385610" w:rsidR="00AA7469" w:rsidRPr="00AA7469" w:rsidRDefault="00AA7469" w:rsidP="00AA7469">
      <w:pPr>
        <w:pStyle w:val="Ingetavstnd"/>
        <w:rPr>
          <w:rStyle w:val="Stark"/>
          <w:b w:val="0"/>
          <w:bCs w:val="0"/>
        </w:rPr>
      </w:pPr>
      <w:r>
        <w:rPr>
          <w:rStyle w:val="Stark"/>
          <w:b w:val="0"/>
          <w:bCs w:val="0"/>
        </w:rPr>
        <w:t>Näringspolitisk chef</w:t>
      </w:r>
    </w:p>
    <w:p w14:paraId="6B9EC3C3" w14:textId="39717123" w:rsidR="003C4F98" w:rsidRPr="003C4F98" w:rsidRDefault="003C4F98" w:rsidP="00AA7469">
      <w:pPr>
        <w:pStyle w:val="Ingetavstnd"/>
        <w:rPr>
          <w:rStyle w:val="Stark"/>
          <w:b w:val="0"/>
          <w:bCs w:val="0"/>
        </w:rPr>
      </w:pPr>
    </w:p>
    <w:p w14:paraId="53D569D0" w14:textId="77777777" w:rsidR="00AA7469" w:rsidRPr="00AA7469" w:rsidRDefault="00AA7469" w:rsidP="00AA7469">
      <w:pPr>
        <w:pStyle w:val="Ingetavstnd"/>
        <w:rPr>
          <w:rStyle w:val="Stark"/>
          <w:b w:val="0"/>
          <w:bCs w:val="0"/>
        </w:rPr>
      </w:pPr>
      <w:r w:rsidRPr="00AA7469">
        <w:rPr>
          <w:rStyle w:val="Stark"/>
          <w:b w:val="0"/>
          <w:bCs w:val="0"/>
        </w:rPr>
        <w:t>Pär Nygårds</w:t>
      </w:r>
    </w:p>
    <w:p w14:paraId="3B6DDD45" w14:textId="590252D2" w:rsidR="00AA7469" w:rsidRPr="00AA7469" w:rsidRDefault="00AA7469" w:rsidP="00AA7469">
      <w:pPr>
        <w:pStyle w:val="Ingetavstnd"/>
        <w:rPr>
          <w:rStyle w:val="Stark"/>
          <w:b w:val="0"/>
          <w:bCs w:val="0"/>
        </w:rPr>
      </w:pPr>
      <w:r>
        <w:rPr>
          <w:rStyle w:val="Stark"/>
          <w:b w:val="0"/>
          <w:bCs w:val="0"/>
        </w:rPr>
        <w:t>Näringspolitisk expert</w:t>
      </w:r>
    </w:p>
    <w:p w14:paraId="142F6568" w14:textId="3D492DC6" w:rsidR="00AA7469" w:rsidRDefault="00AA7469" w:rsidP="003C4F98">
      <w:pPr>
        <w:pStyle w:val="Liststycke"/>
        <w:rPr>
          <w:rStyle w:val="Stark"/>
          <w:b w:val="0"/>
          <w:bCs w:val="0"/>
        </w:rPr>
        <w:sectPr w:rsidR="00AA7469" w:rsidSect="00AA7469">
          <w:type w:val="continuous"/>
          <w:pgSz w:w="11906" w:h="16838"/>
          <w:pgMar w:top="1552" w:right="1985" w:bottom="1134" w:left="1985" w:header="567" w:footer="567" w:gutter="0"/>
          <w:pgNumType w:start="1"/>
          <w:cols w:num="2" w:space="720"/>
          <w:titlePg/>
        </w:sectPr>
      </w:pPr>
    </w:p>
    <w:p w14:paraId="64774577" w14:textId="26024369" w:rsidR="00EE1401" w:rsidRPr="00EE1401" w:rsidRDefault="00EE1401">
      <w:pPr>
        <w:rPr>
          <w:rStyle w:val="Stark"/>
        </w:rPr>
      </w:pPr>
    </w:p>
    <w:sectPr w:rsidR="00EE1401" w:rsidRPr="00EE1401" w:rsidSect="00AA7469">
      <w:type w:val="continuous"/>
      <w:pgSz w:w="11906" w:h="16838"/>
      <w:pgMar w:top="1552" w:right="1985" w:bottom="1134" w:left="1985"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C7DF3" w14:textId="77777777" w:rsidR="00B117EC" w:rsidRDefault="00B117EC">
      <w:pPr>
        <w:spacing w:after="0"/>
      </w:pPr>
      <w:r>
        <w:separator/>
      </w:r>
    </w:p>
  </w:endnote>
  <w:endnote w:type="continuationSeparator" w:id="0">
    <w:p w14:paraId="182A7A54" w14:textId="77777777" w:rsidR="00B117EC" w:rsidRDefault="00B117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89BAC" w14:textId="77777777" w:rsidR="000377D0" w:rsidRDefault="000377D0">
    <w:pPr>
      <w:widowControl w:val="0"/>
      <w:pBdr>
        <w:top w:val="nil"/>
        <w:left w:val="nil"/>
        <w:bottom w:val="nil"/>
        <w:right w:val="nil"/>
        <w:between w:val="nil"/>
      </w:pBdr>
      <w:spacing w:after="0" w:line="276" w:lineRule="auto"/>
      <w:rPr>
        <w:color w:val="000000"/>
      </w:rPr>
    </w:pPr>
  </w:p>
  <w:tbl>
    <w:tblPr>
      <w:tblStyle w:val="1"/>
      <w:tblW w:w="10985" w:type="dxa"/>
      <w:tblInd w:w="-1414" w:type="dxa"/>
      <w:tblBorders>
        <w:top w:val="nil"/>
        <w:left w:val="nil"/>
        <w:bottom w:val="nil"/>
        <w:right w:val="nil"/>
        <w:insideH w:val="nil"/>
        <w:insideV w:val="nil"/>
      </w:tblBorders>
      <w:tblLayout w:type="fixed"/>
      <w:tblLook w:val="0400" w:firstRow="0" w:lastRow="0" w:firstColumn="0" w:lastColumn="0" w:noHBand="0" w:noVBand="1"/>
    </w:tblPr>
    <w:tblGrid>
      <w:gridCol w:w="8185"/>
      <w:gridCol w:w="2800"/>
    </w:tblGrid>
    <w:tr w:rsidR="000377D0" w:rsidRPr="00971E03" w14:paraId="679D33D1" w14:textId="77777777">
      <w:trPr>
        <w:trHeight w:val="227"/>
      </w:trPr>
      <w:tc>
        <w:tcPr>
          <w:tcW w:w="8185" w:type="dxa"/>
        </w:tcPr>
        <w:p w14:paraId="379906C7" w14:textId="7BFCE368" w:rsidR="000377D0" w:rsidRPr="00971E03" w:rsidRDefault="001A3C4E">
          <w:pPr>
            <w:pBdr>
              <w:top w:val="nil"/>
              <w:left w:val="nil"/>
              <w:bottom w:val="nil"/>
              <w:right w:val="nil"/>
              <w:between w:val="nil"/>
            </w:pBdr>
            <w:tabs>
              <w:tab w:val="center" w:pos="4536"/>
              <w:tab w:val="right" w:pos="9072"/>
            </w:tabs>
            <w:rPr>
              <w:color w:val="000000"/>
              <w:sz w:val="19"/>
              <w:szCs w:val="19"/>
              <w:lang w:val="en-US"/>
            </w:rPr>
          </w:pPr>
          <w:r w:rsidRPr="00971E03">
            <w:rPr>
              <w:color w:val="000000"/>
              <w:sz w:val="19"/>
              <w:szCs w:val="19"/>
              <w:lang w:val="en-US"/>
            </w:rPr>
            <w:t xml:space="preserve">Almega AB </w:t>
          </w:r>
          <w:r w:rsidR="00971E03" w:rsidRPr="005F51D2">
            <w:rPr>
              <w:sz w:val="12"/>
              <w:szCs w:val="12"/>
            </w:rPr>
            <w:sym w:font="Wingdings" w:char="F06C"/>
          </w:r>
          <w:r w:rsidRPr="00971E03">
            <w:rPr>
              <w:color w:val="000000"/>
              <w:sz w:val="19"/>
              <w:szCs w:val="19"/>
              <w:lang w:val="en-US"/>
            </w:rPr>
            <w:t xml:space="preserve"> Sturegatan 11 </w:t>
          </w:r>
          <w:r w:rsidR="00971E03" w:rsidRPr="005F51D2">
            <w:rPr>
              <w:sz w:val="12"/>
              <w:szCs w:val="12"/>
            </w:rPr>
            <w:sym w:font="Wingdings" w:char="F06C"/>
          </w:r>
          <w:r w:rsidRPr="00971E03">
            <w:rPr>
              <w:color w:val="000000"/>
              <w:sz w:val="19"/>
              <w:szCs w:val="19"/>
              <w:lang w:val="en-US"/>
            </w:rPr>
            <w:t xml:space="preserve"> Box 555 45 </w:t>
          </w:r>
          <w:r w:rsidR="00971E03" w:rsidRPr="005F51D2">
            <w:rPr>
              <w:sz w:val="12"/>
              <w:szCs w:val="12"/>
            </w:rPr>
            <w:sym w:font="Wingdings" w:char="F06C"/>
          </w:r>
          <w:r w:rsidRPr="00971E03">
            <w:rPr>
              <w:color w:val="000000"/>
              <w:sz w:val="19"/>
              <w:szCs w:val="19"/>
              <w:lang w:val="en-US"/>
            </w:rPr>
            <w:t xml:space="preserve"> 102 04 Stockholm</w:t>
          </w:r>
        </w:p>
      </w:tc>
      <w:tc>
        <w:tcPr>
          <w:tcW w:w="2800" w:type="dxa"/>
        </w:tcPr>
        <w:p w14:paraId="04A5CC59" w14:textId="77777777" w:rsidR="000377D0" w:rsidRPr="00971E03" w:rsidRDefault="000377D0">
          <w:pPr>
            <w:pBdr>
              <w:top w:val="nil"/>
              <w:left w:val="nil"/>
              <w:bottom w:val="nil"/>
              <w:right w:val="nil"/>
              <w:between w:val="nil"/>
            </w:pBdr>
            <w:tabs>
              <w:tab w:val="center" w:pos="4536"/>
              <w:tab w:val="right" w:pos="9072"/>
            </w:tabs>
            <w:jc w:val="right"/>
            <w:rPr>
              <w:color w:val="006DB8"/>
              <w:sz w:val="22"/>
              <w:szCs w:val="22"/>
              <w:lang w:val="en-US"/>
            </w:rPr>
          </w:pPr>
        </w:p>
      </w:tc>
    </w:tr>
    <w:tr w:rsidR="000377D0" w14:paraId="6824468F" w14:textId="77777777">
      <w:trPr>
        <w:trHeight w:val="227"/>
      </w:trPr>
      <w:tc>
        <w:tcPr>
          <w:tcW w:w="8185" w:type="dxa"/>
        </w:tcPr>
        <w:p w14:paraId="14D9CFB1" w14:textId="22A4A3F2" w:rsidR="000377D0" w:rsidRDefault="001A3C4E">
          <w:pPr>
            <w:pBdr>
              <w:top w:val="nil"/>
              <w:left w:val="nil"/>
              <w:bottom w:val="nil"/>
              <w:right w:val="nil"/>
              <w:between w:val="nil"/>
            </w:pBdr>
            <w:tabs>
              <w:tab w:val="center" w:pos="4536"/>
              <w:tab w:val="right" w:pos="9072"/>
            </w:tabs>
            <w:rPr>
              <w:color w:val="000000"/>
              <w:sz w:val="19"/>
              <w:szCs w:val="19"/>
            </w:rPr>
          </w:pPr>
          <w:r>
            <w:rPr>
              <w:color w:val="000000"/>
              <w:sz w:val="19"/>
              <w:szCs w:val="19"/>
            </w:rPr>
            <w:t xml:space="preserve">Tel +46 (0)8 – 762 69 00 </w:t>
          </w:r>
          <w:r w:rsidR="00971E03" w:rsidRPr="005F51D2">
            <w:rPr>
              <w:sz w:val="12"/>
              <w:szCs w:val="12"/>
            </w:rPr>
            <w:sym w:font="Wingdings" w:char="F06C"/>
          </w:r>
          <w:r>
            <w:rPr>
              <w:color w:val="006DB8"/>
              <w:sz w:val="12"/>
              <w:szCs w:val="12"/>
            </w:rPr>
            <w:t xml:space="preserve"> </w:t>
          </w:r>
          <w:r>
            <w:rPr>
              <w:color w:val="000000"/>
              <w:sz w:val="19"/>
              <w:szCs w:val="19"/>
            </w:rPr>
            <w:t>Fax +46 (0)8-762 69 48</w:t>
          </w:r>
          <w:r>
            <w:rPr>
              <w:color w:val="006DB8"/>
              <w:sz w:val="12"/>
              <w:szCs w:val="12"/>
            </w:rPr>
            <w:t xml:space="preserve"> </w:t>
          </w:r>
          <w:r w:rsidR="00971E03" w:rsidRPr="005F51D2">
            <w:rPr>
              <w:sz w:val="12"/>
              <w:szCs w:val="12"/>
            </w:rPr>
            <w:sym w:font="Wingdings" w:char="F06C"/>
          </w:r>
          <w:r>
            <w:rPr>
              <w:color w:val="006DB8"/>
              <w:sz w:val="12"/>
              <w:szCs w:val="12"/>
            </w:rPr>
            <w:t xml:space="preserve"> </w:t>
          </w:r>
          <w:r>
            <w:rPr>
              <w:color w:val="000000"/>
              <w:sz w:val="19"/>
              <w:szCs w:val="19"/>
            </w:rPr>
            <w:t xml:space="preserve">Org nr </w:t>
          </w:r>
          <w:r w:rsidR="00971E03">
            <w:rPr>
              <w:color w:val="000000"/>
              <w:sz w:val="19"/>
              <w:szCs w:val="19"/>
            </w:rPr>
            <w:t>556334–0941</w:t>
          </w:r>
          <w:r>
            <w:rPr>
              <w:color w:val="000000"/>
              <w:sz w:val="19"/>
              <w:szCs w:val="19"/>
            </w:rPr>
            <w:t xml:space="preserve"> </w:t>
          </w:r>
        </w:p>
      </w:tc>
      <w:tc>
        <w:tcPr>
          <w:tcW w:w="2800" w:type="dxa"/>
        </w:tcPr>
        <w:p w14:paraId="030168F6" w14:textId="4DB737F0" w:rsidR="000377D0" w:rsidRDefault="005E337C">
          <w:pPr>
            <w:pBdr>
              <w:top w:val="nil"/>
              <w:left w:val="nil"/>
              <w:bottom w:val="nil"/>
              <w:right w:val="nil"/>
              <w:between w:val="nil"/>
            </w:pBdr>
            <w:tabs>
              <w:tab w:val="center" w:pos="4536"/>
              <w:tab w:val="right" w:pos="9072"/>
            </w:tabs>
            <w:jc w:val="right"/>
            <w:rPr>
              <w:color w:val="006DB8"/>
              <w:sz w:val="22"/>
              <w:szCs w:val="22"/>
            </w:rPr>
          </w:pPr>
          <w:r w:rsidRPr="005E337C">
            <w:rPr>
              <w:sz w:val="22"/>
              <w:szCs w:val="22"/>
            </w:rPr>
            <w:t>itot</w:t>
          </w:r>
          <w:r w:rsidR="001A3C4E" w:rsidRPr="005E337C">
            <w:rPr>
              <w:sz w:val="22"/>
              <w:szCs w:val="22"/>
            </w:rPr>
            <w:t>.se</w:t>
          </w:r>
        </w:p>
      </w:tc>
    </w:tr>
  </w:tbl>
  <w:p w14:paraId="52B3C7B3" w14:textId="77777777" w:rsidR="000377D0" w:rsidRDefault="000377D0">
    <w:pPr>
      <w:pBdr>
        <w:top w:val="nil"/>
        <w:left w:val="nil"/>
        <w:bottom w:val="nil"/>
        <w:right w:val="nil"/>
        <w:between w:val="nil"/>
      </w:pBdr>
      <w:tabs>
        <w:tab w:val="center" w:pos="4536"/>
        <w:tab w:val="right" w:pos="9072"/>
      </w:tabs>
      <w:spacing w:after="0"/>
      <w:ind w:left="-1414"/>
      <w:rPr>
        <w:color w:val="00000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91BDE" w14:textId="77777777" w:rsidR="00B117EC" w:rsidRDefault="00B117EC">
      <w:pPr>
        <w:spacing w:after="0"/>
      </w:pPr>
      <w:r>
        <w:separator/>
      </w:r>
    </w:p>
  </w:footnote>
  <w:footnote w:type="continuationSeparator" w:id="0">
    <w:p w14:paraId="4887C972" w14:textId="77777777" w:rsidR="00B117EC" w:rsidRDefault="00B117EC">
      <w:pPr>
        <w:spacing w:after="0"/>
      </w:pPr>
      <w:r>
        <w:continuationSeparator/>
      </w:r>
    </w:p>
  </w:footnote>
  <w:footnote w:id="1">
    <w:p w14:paraId="65E2A326" w14:textId="224A1562" w:rsidR="00481687" w:rsidRDefault="00481687">
      <w:pPr>
        <w:pStyle w:val="Fotnotstext"/>
      </w:pPr>
      <w:r>
        <w:rPr>
          <w:rStyle w:val="Fotnotsreferens"/>
        </w:rPr>
        <w:footnoteRef/>
      </w:r>
      <w:r>
        <w:t xml:space="preserve"> Radar Group – analys av den svenska och nordiska IT-driftsmarknaden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5DCAC" w14:textId="77777777" w:rsidR="000377D0" w:rsidRDefault="000377D0">
    <w:pPr>
      <w:widowControl w:val="0"/>
      <w:pBdr>
        <w:top w:val="nil"/>
        <w:left w:val="nil"/>
        <w:bottom w:val="nil"/>
        <w:right w:val="nil"/>
        <w:between w:val="nil"/>
      </w:pBdr>
      <w:spacing w:after="0" w:line="276" w:lineRule="auto"/>
      <w:rPr>
        <w:color w:val="000000"/>
      </w:rPr>
    </w:pPr>
  </w:p>
  <w:tbl>
    <w:tblPr>
      <w:tblStyle w:val="2"/>
      <w:tblW w:w="854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424"/>
      <w:gridCol w:w="2940"/>
      <w:gridCol w:w="4185"/>
    </w:tblGrid>
    <w:tr w:rsidR="000377D0" w14:paraId="1AB9DD45" w14:textId="77777777">
      <w:tc>
        <w:tcPr>
          <w:tcW w:w="1424" w:type="dxa"/>
        </w:tcPr>
        <w:p w14:paraId="3EBF570D" w14:textId="77777777" w:rsidR="000377D0" w:rsidRDefault="000377D0">
          <w:pPr>
            <w:pBdr>
              <w:top w:val="nil"/>
              <w:left w:val="nil"/>
              <w:bottom w:val="nil"/>
              <w:right w:val="nil"/>
              <w:between w:val="nil"/>
            </w:pBdr>
            <w:tabs>
              <w:tab w:val="center" w:pos="4536"/>
              <w:tab w:val="right" w:pos="9072"/>
            </w:tabs>
            <w:rPr>
              <w:color w:val="000000"/>
            </w:rPr>
          </w:pPr>
        </w:p>
      </w:tc>
      <w:tc>
        <w:tcPr>
          <w:tcW w:w="2940" w:type="dxa"/>
        </w:tcPr>
        <w:p w14:paraId="4D7B59C7" w14:textId="77777777" w:rsidR="000377D0" w:rsidRDefault="000377D0">
          <w:pPr>
            <w:pBdr>
              <w:top w:val="nil"/>
              <w:left w:val="nil"/>
              <w:bottom w:val="nil"/>
              <w:right w:val="nil"/>
              <w:between w:val="nil"/>
            </w:pBdr>
            <w:tabs>
              <w:tab w:val="center" w:pos="4536"/>
              <w:tab w:val="right" w:pos="9072"/>
            </w:tabs>
            <w:rPr>
              <w:color w:val="000000"/>
            </w:rPr>
          </w:pPr>
        </w:p>
      </w:tc>
      <w:tc>
        <w:tcPr>
          <w:tcW w:w="4185" w:type="dxa"/>
          <w:vMerge w:val="restart"/>
        </w:tcPr>
        <w:p w14:paraId="102FF43F" w14:textId="77777777" w:rsidR="000377D0" w:rsidRDefault="001A3C4E">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BD5A72">
            <w:rPr>
              <w:noProof/>
              <w:color w:val="000000"/>
            </w:rPr>
            <w:t>2</w:t>
          </w:r>
          <w:r>
            <w:rPr>
              <w:color w:val="000000"/>
            </w:rPr>
            <w:fldChar w:fldCharType="end"/>
          </w:r>
        </w:p>
      </w:tc>
    </w:tr>
    <w:tr w:rsidR="000377D0" w14:paraId="5D0905A6" w14:textId="77777777">
      <w:tc>
        <w:tcPr>
          <w:tcW w:w="1424" w:type="dxa"/>
        </w:tcPr>
        <w:p w14:paraId="676A655F" w14:textId="77777777" w:rsidR="000377D0" w:rsidRDefault="000377D0">
          <w:pPr>
            <w:rPr>
              <w:sz w:val="22"/>
              <w:szCs w:val="22"/>
            </w:rPr>
          </w:pPr>
        </w:p>
      </w:tc>
      <w:tc>
        <w:tcPr>
          <w:tcW w:w="2940" w:type="dxa"/>
        </w:tcPr>
        <w:p w14:paraId="77BFEE63" w14:textId="77777777" w:rsidR="000377D0" w:rsidRDefault="000377D0">
          <w:pPr>
            <w:rPr>
              <w:sz w:val="22"/>
              <w:szCs w:val="22"/>
            </w:rPr>
          </w:pPr>
        </w:p>
      </w:tc>
      <w:tc>
        <w:tcPr>
          <w:tcW w:w="4185" w:type="dxa"/>
          <w:vMerge/>
        </w:tcPr>
        <w:p w14:paraId="192935FE" w14:textId="77777777" w:rsidR="000377D0" w:rsidRDefault="000377D0">
          <w:pPr>
            <w:widowControl w:val="0"/>
            <w:pBdr>
              <w:top w:val="nil"/>
              <w:left w:val="nil"/>
              <w:bottom w:val="nil"/>
              <w:right w:val="nil"/>
              <w:between w:val="nil"/>
            </w:pBdr>
            <w:spacing w:line="276" w:lineRule="auto"/>
            <w:rPr>
              <w:sz w:val="22"/>
              <w:szCs w:val="22"/>
            </w:rPr>
          </w:pPr>
        </w:p>
      </w:tc>
    </w:tr>
    <w:tr w:rsidR="000377D0" w14:paraId="7D2487E0" w14:textId="77777777">
      <w:tc>
        <w:tcPr>
          <w:tcW w:w="1424" w:type="dxa"/>
        </w:tcPr>
        <w:p w14:paraId="3E2A89DF" w14:textId="77777777" w:rsidR="000377D0" w:rsidRDefault="000377D0">
          <w:pPr>
            <w:pBdr>
              <w:top w:val="nil"/>
              <w:left w:val="nil"/>
              <w:bottom w:val="nil"/>
              <w:right w:val="nil"/>
              <w:between w:val="nil"/>
            </w:pBdr>
            <w:tabs>
              <w:tab w:val="center" w:pos="4536"/>
              <w:tab w:val="right" w:pos="9072"/>
            </w:tabs>
            <w:rPr>
              <w:color w:val="000000"/>
            </w:rPr>
          </w:pPr>
        </w:p>
      </w:tc>
      <w:tc>
        <w:tcPr>
          <w:tcW w:w="2940" w:type="dxa"/>
        </w:tcPr>
        <w:p w14:paraId="00F7FE51" w14:textId="77777777" w:rsidR="000377D0" w:rsidRDefault="000377D0">
          <w:pPr>
            <w:pBdr>
              <w:top w:val="nil"/>
              <w:left w:val="nil"/>
              <w:bottom w:val="nil"/>
              <w:right w:val="nil"/>
              <w:between w:val="nil"/>
            </w:pBdr>
            <w:tabs>
              <w:tab w:val="center" w:pos="4536"/>
              <w:tab w:val="right" w:pos="9072"/>
            </w:tabs>
            <w:rPr>
              <w:color w:val="000000"/>
            </w:rPr>
          </w:pPr>
        </w:p>
      </w:tc>
      <w:tc>
        <w:tcPr>
          <w:tcW w:w="4185" w:type="dxa"/>
          <w:vMerge/>
        </w:tcPr>
        <w:p w14:paraId="44E415C9" w14:textId="77777777" w:rsidR="000377D0" w:rsidRDefault="000377D0">
          <w:pPr>
            <w:widowControl w:val="0"/>
            <w:pBdr>
              <w:top w:val="nil"/>
              <w:left w:val="nil"/>
              <w:bottom w:val="nil"/>
              <w:right w:val="nil"/>
              <w:between w:val="nil"/>
            </w:pBdr>
            <w:spacing w:line="276" w:lineRule="auto"/>
            <w:rPr>
              <w:color w:val="000000"/>
            </w:rPr>
          </w:pPr>
        </w:p>
      </w:tc>
    </w:tr>
    <w:tr w:rsidR="000377D0" w14:paraId="7EB8BF88" w14:textId="77777777">
      <w:tc>
        <w:tcPr>
          <w:tcW w:w="1424" w:type="dxa"/>
        </w:tcPr>
        <w:p w14:paraId="7D7D8918" w14:textId="77777777" w:rsidR="000377D0" w:rsidRDefault="000377D0">
          <w:pPr>
            <w:pBdr>
              <w:top w:val="nil"/>
              <w:left w:val="nil"/>
              <w:bottom w:val="nil"/>
              <w:right w:val="nil"/>
              <w:between w:val="nil"/>
            </w:pBdr>
            <w:tabs>
              <w:tab w:val="center" w:pos="4536"/>
              <w:tab w:val="right" w:pos="9072"/>
            </w:tabs>
            <w:rPr>
              <w:color w:val="000000"/>
              <w:sz w:val="22"/>
              <w:szCs w:val="22"/>
            </w:rPr>
          </w:pPr>
        </w:p>
      </w:tc>
      <w:tc>
        <w:tcPr>
          <w:tcW w:w="2940" w:type="dxa"/>
        </w:tcPr>
        <w:p w14:paraId="54014D23" w14:textId="77777777" w:rsidR="000377D0" w:rsidRDefault="000377D0">
          <w:pPr>
            <w:pBdr>
              <w:top w:val="nil"/>
              <w:left w:val="nil"/>
              <w:bottom w:val="nil"/>
              <w:right w:val="nil"/>
              <w:between w:val="nil"/>
            </w:pBdr>
            <w:tabs>
              <w:tab w:val="center" w:pos="4536"/>
              <w:tab w:val="right" w:pos="9072"/>
            </w:tabs>
            <w:rPr>
              <w:color w:val="000000"/>
              <w:sz w:val="22"/>
              <w:szCs w:val="22"/>
            </w:rPr>
          </w:pPr>
        </w:p>
      </w:tc>
      <w:tc>
        <w:tcPr>
          <w:tcW w:w="4185" w:type="dxa"/>
          <w:vMerge/>
        </w:tcPr>
        <w:p w14:paraId="50F91573" w14:textId="77777777" w:rsidR="000377D0" w:rsidRDefault="000377D0">
          <w:pPr>
            <w:widowControl w:val="0"/>
            <w:pBdr>
              <w:top w:val="nil"/>
              <w:left w:val="nil"/>
              <w:bottom w:val="nil"/>
              <w:right w:val="nil"/>
              <w:between w:val="nil"/>
            </w:pBdr>
            <w:spacing w:line="276" w:lineRule="auto"/>
            <w:rPr>
              <w:color w:val="000000"/>
              <w:sz w:val="22"/>
              <w:szCs w:val="22"/>
            </w:rPr>
          </w:pPr>
        </w:p>
      </w:tc>
    </w:tr>
  </w:tbl>
  <w:p w14:paraId="1098ADAF" w14:textId="77777777" w:rsidR="000377D0" w:rsidRDefault="000377D0">
    <w:pPr>
      <w:pBdr>
        <w:top w:val="nil"/>
        <w:left w:val="nil"/>
        <w:bottom w:val="nil"/>
        <w:right w:val="nil"/>
        <w:between w:val="nil"/>
      </w:pBdr>
      <w:tabs>
        <w:tab w:val="center" w:pos="4536"/>
        <w:tab w:val="right" w:pos="9072"/>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A64B0" w14:textId="77777777" w:rsidR="000377D0" w:rsidRDefault="000377D0">
    <w:pPr>
      <w:widowControl w:val="0"/>
      <w:pBdr>
        <w:top w:val="nil"/>
        <w:left w:val="nil"/>
        <w:bottom w:val="nil"/>
        <w:right w:val="nil"/>
        <w:between w:val="nil"/>
      </w:pBdr>
      <w:spacing w:after="0" w:line="276" w:lineRule="auto"/>
      <w:rPr>
        <w:color w:val="000000"/>
      </w:rPr>
    </w:pPr>
  </w:p>
  <w:tbl>
    <w:tblPr>
      <w:tblStyle w:val="3"/>
      <w:tblW w:w="957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424"/>
      <w:gridCol w:w="2940"/>
      <w:gridCol w:w="5207"/>
    </w:tblGrid>
    <w:tr w:rsidR="000377D0" w14:paraId="09218F20" w14:textId="77777777">
      <w:tc>
        <w:tcPr>
          <w:tcW w:w="1424" w:type="dxa"/>
        </w:tcPr>
        <w:p w14:paraId="5C657E7D" w14:textId="77777777" w:rsidR="000377D0" w:rsidRDefault="001A3C4E">
          <w:pPr>
            <w:pBdr>
              <w:top w:val="nil"/>
              <w:left w:val="nil"/>
              <w:bottom w:val="nil"/>
              <w:right w:val="nil"/>
              <w:between w:val="nil"/>
            </w:pBdr>
            <w:tabs>
              <w:tab w:val="center" w:pos="4536"/>
              <w:tab w:val="right" w:pos="9072"/>
            </w:tabs>
            <w:rPr>
              <w:color w:val="000000"/>
              <w:sz w:val="18"/>
              <w:szCs w:val="18"/>
            </w:rPr>
          </w:pPr>
          <w:r>
            <w:rPr>
              <w:color w:val="000000"/>
              <w:sz w:val="18"/>
              <w:szCs w:val="18"/>
            </w:rPr>
            <w:t>Ert datum</w:t>
          </w:r>
        </w:p>
      </w:tc>
      <w:tc>
        <w:tcPr>
          <w:tcW w:w="2940" w:type="dxa"/>
        </w:tcPr>
        <w:p w14:paraId="3CB27759" w14:textId="77777777" w:rsidR="000377D0" w:rsidRDefault="001A3C4E">
          <w:pPr>
            <w:pBdr>
              <w:top w:val="nil"/>
              <w:left w:val="nil"/>
              <w:bottom w:val="nil"/>
              <w:right w:val="nil"/>
              <w:between w:val="nil"/>
            </w:pBdr>
            <w:tabs>
              <w:tab w:val="center" w:pos="4536"/>
              <w:tab w:val="right" w:pos="9072"/>
            </w:tabs>
            <w:rPr>
              <w:color w:val="000000"/>
              <w:sz w:val="18"/>
              <w:szCs w:val="18"/>
            </w:rPr>
          </w:pPr>
          <w:r>
            <w:rPr>
              <w:color w:val="000000"/>
              <w:sz w:val="18"/>
              <w:szCs w:val="18"/>
            </w:rPr>
            <w:t>Er referens</w:t>
          </w:r>
        </w:p>
      </w:tc>
      <w:tc>
        <w:tcPr>
          <w:tcW w:w="5207" w:type="dxa"/>
          <w:vMerge w:val="restart"/>
        </w:tcPr>
        <w:p w14:paraId="2599676D" w14:textId="1B755BA7" w:rsidR="000377D0" w:rsidRDefault="005E337C">
          <w:pPr>
            <w:pBdr>
              <w:top w:val="nil"/>
              <w:left w:val="nil"/>
              <w:bottom w:val="nil"/>
              <w:right w:val="nil"/>
              <w:between w:val="nil"/>
            </w:pBdr>
            <w:tabs>
              <w:tab w:val="center" w:pos="4536"/>
              <w:tab w:val="right" w:pos="9072"/>
            </w:tabs>
            <w:jc w:val="right"/>
            <w:rPr>
              <w:color w:val="000000"/>
            </w:rPr>
          </w:pPr>
          <w:r w:rsidRPr="005E337C">
            <w:rPr>
              <w:noProof/>
              <w:color w:val="000000"/>
            </w:rPr>
            <w:drawing>
              <wp:inline distT="0" distB="0" distL="0" distR="0" wp14:anchorId="7945A9A1" wp14:editId="0EEC5494">
                <wp:extent cx="3169285" cy="2667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9285" cy="266700"/>
                        </a:xfrm>
                        <a:prstGeom prst="rect">
                          <a:avLst/>
                        </a:prstGeom>
                        <a:noFill/>
                        <a:ln>
                          <a:noFill/>
                        </a:ln>
                      </pic:spPr>
                    </pic:pic>
                  </a:graphicData>
                </a:graphic>
              </wp:inline>
            </w:drawing>
          </w:r>
        </w:p>
      </w:tc>
    </w:tr>
    <w:tr w:rsidR="000377D0" w14:paraId="37076B6B" w14:textId="77777777">
      <w:tc>
        <w:tcPr>
          <w:tcW w:w="1424" w:type="dxa"/>
        </w:tcPr>
        <w:p w14:paraId="677C7FE3" w14:textId="77777777" w:rsidR="000377D0" w:rsidRDefault="001A3C4E">
          <w:pPr>
            <w:pBdr>
              <w:top w:val="nil"/>
              <w:left w:val="nil"/>
              <w:bottom w:val="nil"/>
              <w:right w:val="nil"/>
              <w:between w:val="nil"/>
            </w:pBdr>
            <w:tabs>
              <w:tab w:val="center" w:pos="4536"/>
              <w:tab w:val="right" w:pos="9072"/>
            </w:tabs>
            <w:rPr>
              <w:color w:val="000000"/>
            </w:rPr>
          </w:pPr>
          <w:r>
            <w:rPr>
              <w:color w:val="808080"/>
            </w:rPr>
            <w:t xml:space="preserve"> </w:t>
          </w:r>
        </w:p>
      </w:tc>
      <w:tc>
        <w:tcPr>
          <w:tcW w:w="2940" w:type="dxa"/>
        </w:tcPr>
        <w:p w14:paraId="2E430953" w14:textId="25E57E75" w:rsidR="000377D0" w:rsidRDefault="00AA7469">
          <w:pPr>
            <w:pBdr>
              <w:top w:val="nil"/>
              <w:left w:val="nil"/>
              <w:bottom w:val="nil"/>
              <w:right w:val="nil"/>
              <w:between w:val="nil"/>
            </w:pBdr>
            <w:tabs>
              <w:tab w:val="center" w:pos="4536"/>
              <w:tab w:val="right" w:pos="9072"/>
            </w:tabs>
            <w:rPr>
              <w:color w:val="000000"/>
            </w:rPr>
          </w:pPr>
          <w:r w:rsidRPr="00AA7469">
            <w:rPr>
              <w:color w:val="000000"/>
            </w:rPr>
            <w:t>I2021/00342</w:t>
          </w:r>
        </w:p>
      </w:tc>
      <w:tc>
        <w:tcPr>
          <w:tcW w:w="5207" w:type="dxa"/>
          <w:vMerge/>
        </w:tcPr>
        <w:p w14:paraId="5CC9712B" w14:textId="77777777" w:rsidR="000377D0" w:rsidRDefault="000377D0">
          <w:pPr>
            <w:widowControl w:val="0"/>
            <w:pBdr>
              <w:top w:val="nil"/>
              <w:left w:val="nil"/>
              <w:bottom w:val="nil"/>
              <w:right w:val="nil"/>
              <w:between w:val="nil"/>
            </w:pBdr>
            <w:spacing w:line="276" w:lineRule="auto"/>
            <w:rPr>
              <w:color w:val="000000"/>
            </w:rPr>
          </w:pPr>
        </w:p>
      </w:tc>
    </w:tr>
    <w:tr w:rsidR="000377D0" w14:paraId="689FD963" w14:textId="77777777">
      <w:tc>
        <w:tcPr>
          <w:tcW w:w="1424" w:type="dxa"/>
        </w:tcPr>
        <w:p w14:paraId="32B0B7D2" w14:textId="77777777" w:rsidR="000377D0" w:rsidRDefault="001A3C4E">
          <w:pPr>
            <w:pBdr>
              <w:top w:val="nil"/>
              <w:left w:val="nil"/>
              <w:bottom w:val="nil"/>
              <w:right w:val="nil"/>
              <w:between w:val="nil"/>
            </w:pBdr>
            <w:tabs>
              <w:tab w:val="center" w:pos="4536"/>
              <w:tab w:val="right" w:pos="9072"/>
            </w:tabs>
            <w:rPr>
              <w:color w:val="000000"/>
              <w:sz w:val="18"/>
              <w:szCs w:val="18"/>
            </w:rPr>
          </w:pPr>
          <w:r>
            <w:rPr>
              <w:color w:val="000000"/>
              <w:sz w:val="18"/>
              <w:szCs w:val="18"/>
            </w:rPr>
            <w:t>Datum</w:t>
          </w:r>
        </w:p>
      </w:tc>
      <w:tc>
        <w:tcPr>
          <w:tcW w:w="2940" w:type="dxa"/>
        </w:tcPr>
        <w:p w14:paraId="4088C5DC" w14:textId="77777777" w:rsidR="000377D0" w:rsidRDefault="001A3C4E">
          <w:pPr>
            <w:pBdr>
              <w:top w:val="nil"/>
              <w:left w:val="nil"/>
              <w:bottom w:val="nil"/>
              <w:right w:val="nil"/>
              <w:between w:val="nil"/>
            </w:pBdr>
            <w:tabs>
              <w:tab w:val="center" w:pos="4536"/>
              <w:tab w:val="right" w:pos="9072"/>
            </w:tabs>
            <w:rPr>
              <w:color w:val="000000"/>
              <w:sz w:val="18"/>
              <w:szCs w:val="18"/>
            </w:rPr>
          </w:pPr>
          <w:r>
            <w:rPr>
              <w:color w:val="000000"/>
              <w:sz w:val="18"/>
              <w:szCs w:val="18"/>
            </w:rPr>
            <w:t>Vår referens</w:t>
          </w:r>
        </w:p>
      </w:tc>
      <w:tc>
        <w:tcPr>
          <w:tcW w:w="5207" w:type="dxa"/>
          <w:vMerge/>
        </w:tcPr>
        <w:p w14:paraId="5A1B6934" w14:textId="77777777" w:rsidR="000377D0" w:rsidRDefault="000377D0">
          <w:pPr>
            <w:widowControl w:val="0"/>
            <w:pBdr>
              <w:top w:val="nil"/>
              <w:left w:val="nil"/>
              <w:bottom w:val="nil"/>
              <w:right w:val="nil"/>
              <w:between w:val="nil"/>
            </w:pBdr>
            <w:spacing w:line="276" w:lineRule="auto"/>
            <w:rPr>
              <w:color w:val="000000"/>
              <w:sz w:val="18"/>
              <w:szCs w:val="18"/>
            </w:rPr>
          </w:pPr>
        </w:p>
      </w:tc>
    </w:tr>
    <w:tr w:rsidR="000377D0" w14:paraId="5B22117C" w14:textId="77777777">
      <w:tc>
        <w:tcPr>
          <w:tcW w:w="1424" w:type="dxa"/>
        </w:tcPr>
        <w:p w14:paraId="5763A193" w14:textId="501D7C61" w:rsidR="000377D0" w:rsidRDefault="00AA7469">
          <w:pPr>
            <w:pBdr>
              <w:top w:val="nil"/>
              <w:left w:val="nil"/>
              <w:bottom w:val="nil"/>
              <w:right w:val="nil"/>
              <w:between w:val="nil"/>
            </w:pBdr>
            <w:tabs>
              <w:tab w:val="center" w:pos="4536"/>
              <w:tab w:val="right" w:pos="9072"/>
            </w:tabs>
            <w:rPr>
              <w:color w:val="000000"/>
            </w:rPr>
          </w:pPr>
          <w:r>
            <w:rPr>
              <w:color w:val="000000"/>
            </w:rPr>
            <w:t>2021-05-05</w:t>
          </w:r>
        </w:p>
      </w:tc>
      <w:tc>
        <w:tcPr>
          <w:tcW w:w="2940" w:type="dxa"/>
        </w:tcPr>
        <w:p w14:paraId="243A72D9" w14:textId="7637C729" w:rsidR="000377D0" w:rsidRDefault="00AA7469">
          <w:pPr>
            <w:pBdr>
              <w:top w:val="nil"/>
              <w:left w:val="nil"/>
              <w:bottom w:val="nil"/>
              <w:right w:val="nil"/>
              <w:between w:val="nil"/>
            </w:pBdr>
            <w:tabs>
              <w:tab w:val="center" w:pos="4536"/>
              <w:tab w:val="right" w:pos="9072"/>
            </w:tabs>
            <w:rPr>
              <w:color w:val="000000"/>
            </w:rPr>
          </w:pPr>
          <w:r>
            <w:rPr>
              <w:color w:val="000000"/>
            </w:rPr>
            <w:t>Pär Nygårds</w:t>
          </w:r>
        </w:p>
      </w:tc>
      <w:tc>
        <w:tcPr>
          <w:tcW w:w="5207" w:type="dxa"/>
          <w:vMerge/>
        </w:tcPr>
        <w:p w14:paraId="7154BEA1" w14:textId="77777777" w:rsidR="000377D0" w:rsidRDefault="000377D0">
          <w:pPr>
            <w:widowControl w:val="0"/>
            <w:pBdr>
              <w:top w:val="nil"/>
              <w:left w:val="nil"/>
              <w:bottom w:val="nil"/>
              <w:right w:val="nil"/>
              <w:between w:val="nil"/>
            </w:pBdr>
            <w:spacing w:line="276" w:lineRule="auto"/>
            <w:rPr>
              <w:color w:val="000000"/>
            </w:rPr>
          </w:pPr>
        </w:p>
      </w:tc>
    </w:tr>
  </w:tbl>
  <w:p w14:paraId="4505AA92" w14:textId="77777777" w:rsidR="000377D0" w:rsidRDefault="000377D0">
    <w:pPr>
      <w:pBdr>
        <w:top w:val="nil"/>
        <w:left w:val="nil"/>
        <w:bottom w:val="nil"/>
        <w:right w:val="nil"/>
        <w:between w:val="nil"/>
      </w:pBdr>
      <w:tabs>
        <w:tab w:val="center" w:pos="4536"/>
        <w:tab w:val="right" w:pos="9072"/>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002BE"/>
    <w:multiLevelType w:val="hybridMultilevel"/>
    <w:tmpl w:val="E8F226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B571AA"/>
    <w:multiLevelType w:val="hybridMultilevel"/>
    <w:tmpl w:val="1FFA1CEC"/>
    <w:lvl w:ilvl="0" w:tplc="F42A94CC">
      <w:start w:val="1"/>
      <w:numFmt w:val="decimal"/>
      <w:lvlText w:val="%1."/>
      <w:lvlJc w:val="left"/>
      <w:pPr>
        <w:ind w:left="720" w:hanging="360"/>
      </w:pPr>
      <w:rPr>
        <w:rFonts w:hint="default"/>
        <w:b/>
        <w:b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51C3E99"/>
    <w:multiLevelType w:val="hybridMultilevel"/>
    <w:tmpl w:val="1FFA1CEC"/>
    <w:lvl w:ilvl="0" w:tplc="F42A94CC">
      <w:start w:val="1"/>
      <w:numFmt w:val="decimal"/>
      <w:lvlText w:val="%1."/>
      <w:lvlJc w:val="left"/>
      <w:pPr>
        <w:ind w:left="720" w:hanging="360"/>
      </w:pPr>
      <w:rPr>
        <w:rFonts w:hint="default"/>
        <w:b/>
        <w:b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5E547711"/>
    <w:multiLevelType w:val="hybridMultilevel"/>
    <w:tmpl w:val="4E8CB37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2831060"/>
    <w:multiLevelType w:val="hybridMultilevel"/>
    <w:tmpl w:val="C5D4D5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99B24D8"/>
    <w:multiLevelType w:val="multilevel"/>
    <w:tmpl w:val="7A8CD2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7D0"/>
    <w:rsid w:val="00033BF6"/>
    <w:rsid w:val="000377D0"/>
    <w:rsid w:val="0006491F"/>
    <w:rsid w:val="00132EA3"/>
    <w:rsid w:val="001A3C4E"/>
    <w:rsid w:val="001B25D3"/>
    <w:rsid w:val="001E7958"/>
    <w:rsid w:val="00247953"/>
    <w:rsid w:val="002D5D24"/>
    <w:rsid w:val="00301772"/>
    <w:rsid w:val="00306016"/>
    <w:rsid w:val="003C4F98"/>
    <w:rsid w:val="00403850"/>
    <w:rsid w:val="00461D7D"/>
    <w:rsid w:val="00481687"/>
    <w:rsid w:val="004C0212"/>
    <w:rsid w:val="005154CC"/>
    <w:rsid w:val="005572EC"/>
    <w:rsid w:val="00565EC1"/>
    <w:rsid w:val="005E337C"/>
    <w:rsid w:val="005F31F6"/>
    <w:rsid w:val="00630F1B"/>
    <w:rsid w:val="006B47F8"/>
    <w:rsid w:val="006F1580"/>
    <w:rsid w:val="00720503"/>
    <w:rsid w:val="00752DA7"/>
    <w:rsid w:val="007B0D9F"/>
    <w:rsid w:val="007E3D48"/>
    <w:rsid w:val="007F03EE"/>
    <w:rsid w:val="008D59E0"/>
    <w:rsid w:val="00971E03"/>
    <w:rsid w:val="009C73F9"/>
    <w:rsid w:val="009D12A7"/>
    <w:rsid w:val="00A14F2E"/>
    <w:rsid w:val="00A53CFF"/>
    <w:rsid w:val="00AA7469"/>
    <w:rsid w:val="00AC26B6"/>
    <w:rsid w:val="00B117EC"/>
    <w:rsid w:val="00B25C44"/>
    <w:rsid w:val="00BA5ED7"/>
    <w:rsid w:val="00BD5A72"/>
    <w:rsid w:val="00CB4B77"/>
    <w:rsid w:val="00D85C1F"/>
    <w:rsid w:val="00DD1790"/>
    <w:rsid w:val="00E21BB5"/>
    <w:rsid w:val="00E3656C"/>
    <w:rsid w:val="00ED043B"/>
    <w:rsid w:val="00EE1401"/>
    <w:rsid w:val="00F31481"/>
    <w:rsid w:val="00F903B2"/>
    <w:rsid w:val="00F9715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1647B"/>
  <w15:docId w15:val="{4678DABE-8D19-4973-B8CE-877CD1DA1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sv-SE" w:eastAsia="sv-SE"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pBdr>
        <w:top w:val="nil"/>
        <w:left w:val="nil"/>
        <w:bottom w:val="nil"/>
        <w:right w:val="nil"/>
        <w:between w:val="nil"/>
      </w:pBdr>
      <w:spacing w:after="160"/>
      <w:outlineLvl w:val="0"/>
    </w:pPr>
    <w:rPr>
      <w:rFonts w:ascii="Arial" w:eastAsia="Arial" w:hAnsi="Arial" w:cs="Arial"/>
      <w:b/>
      <w:color w:val="000000"/>
      <w:sz w:val="32"/>
      <w:szCs w:val="32"/>
    </w:rPr>
  </w:style>
  <w:style w:type="paragraph" w:styleId="Rubrik2">
    <w:name w:val="heading 2"/>
    <w:basedOn w:val="Normal"/>
    <w:next w:val="Normal"/>
    <w:uiPriority w:val="9"/>
    <w:unhideWhenUsed/>
    <w:qFormat/>
    <w:pPr>
      <w:keepNext/>
      <w:keepLines/>
      <w:pBdr>
        <w:top w:val="nil"/>
        <w:left w:val="nil"/>
        <w:bottom w:val="nil"/>
        <w:right w:val="nil"/>
        <w:between w:val="nil"/>
      </w:pBdr>
      <w:spacing w:after="140"/>
      <w:outlineLvl w:val="1"/>
    </w:pPr>
    <w:rPr>
      <w:rFonts w:ascii="Arial" w:eastAsia="Arial" w:hAnsi="Arial" w:cs="Arial"/>
      <w:b/>
      <w:color w:val="000000"/>
      <w:sz w:val="28"/>
      <w:szCs w:val="28"/>
    </w:rPr>
  </w:style>
  <w:style w:type="paragraph" w:styleId="Rubrik3">
    <w:name w:val="heading 3"/>
    <w:basedOn w:val="Normal"/>
    <w:next w:val="Normal"/>
    <w:uiPriority w:val="9"/>
    <w:unhideWhenUsed/>
    <w:qFormat/>
    <w:pPr>
      <w:keepNext/>
      <w:keepLines/>
      <w:pBdr>
        <w:top w:val="nil"/>
        <w:left w:val="nil"/>
        <w:bottom w:val="nil"/>
        <w:right w:val="nil"/>
        <w:between w:val="nil"/>
      </w:pBdr>
      <w:spacing w:after="120"/>
      <w:outlineLvl w:val="2"/>
    </w:pPr>
    <w:rPr>
      <w:rFonts w:ascii="Arial" w:eastAsia="Arial" w:hAnsi="Arial" w:cs="Arial"/>
      <w:b/>
      <w:color w:val="000000"/>
    </w:rPr>
  </w:style>
  <w:style w:type="paragraph" w:styleId="Rubrik4">
    <w:name w:val="heading 4"/>
    <w:basedOn w:val="Normal"/>
    <w:next w:val="Normal"/>
    <w:uiPriority w:val="9"/>
    <w:semiHidden/>
    <w:unhideWhenUsed/>
    <w:qFormat/>
    <w:pPr>
      <w:keepNext/>
      <w:keepLines/>
      <w:pBdr>
        <w:top w:val="nil"/>
        <w:left w:val="nil"/>
        <w:bottom w:val="nil"/>
        <w:right w:val="nil"/>
        <w:between w:val="nil"/>
      </w:pBdr>
      <w:spacing w:after="120"/>
      <w:outlineLvl w:val="3"/>
    </w:pPr>
    <w:rPr>
      <w:rFonts w:ascii="Arial" w:eastAsia="Arial" w:hAnsi="Arial" w:cs="Arial"/>
      <w:color w:val="000000"/>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pPr>
    <w:tblPr>
      <w:tblStyleRowBandSize w:val="1"/>
      <w:tblStyleColBandSize w:val="1"/>
      <w:tblCellMar>
        <w:left w:w="108" w:type="dxa"/>
        <w:right w:w="108" w:type="dxa"/>
      </w:tblCellMar>
    </w:tblPr>
  </w:style>
  <w:style w:type="table" w:customStyle="1" w:styleId="3">
    <w:name w:val="3"/>
    <w:basedOn w:val="TableNormal"/>
    <w:pPr>
      <w:spacing w:after="0"/>
    </w:pPr>
    <w:tblPr>
      <w:tblStyleRowBandSize w:val="1"/>
      <w:tblStyleColBandSize w:val="1"/>
      <w:tblCellMar>
        <w:left w:w="108" w:type="dxa"/>
        <w:right w:w="108" w:type="dxa"/>
      </w:tblCellMar>
    </w:tblPr>
  </w:style>
  <w:style w:type="table" w:customStyle="1" w:styleId="2">
    <w:name w:val="2"/>
    <w:basedOn w:val="TableNormal"/>
    <w:pPr>
      <w:spacing w:after="0"/>
    </w:pPr>
    <w:tblPr>
      <w:tblStyleRowBandSize w:val="1"/>
      <w:tblStyleColBandSize w:val="1"/>
      <w:tblCellMar>
        <w:left w:w="108" w:type="dxa"/>
        <w:right w:w="108" w:type="dxa"/>
      </w:tblCellMar>
    </w:tblPr>
  </w:style>
  <w:style w:type="table" w:customStyle="1" w:styleId="1">
    <w:name w:val="1"/>
    <w:basedOn w:val="TableNormal"/>
    <w:pPr>
      <w:spacing w:after="0"/>
    </w:pPr>
    <w:tblPr>
      <w:tblStyleRowBandSize w:val="1"/>
      <w:tblStyleColBandSize w:val="1"/>
      <w:tblCellMar>
        <w:left w:w="108" w:type="dxa"/>
        <w:right w:w="108" w:type="dxa"/>
      </w:tblCellMar>
    </w:tblPr>
  </w:style>
  <w:style w:type="paragraph" w:styleId="Sidhuvud">
    <w:name w:val="header"/>
    <w:basedOn w:val="Normal"/>
    <w:link w:val="SidhuvudChar"/>
    <w:uiPriority w:val="99"/>
    <w:unhideWhenUsed/>
    <w:rsid w:val="00BD5A72"/>
    <w:pPr>
      <w:tabs>
        <w:tab w:val="center" w:pos="4536"/>
        <w:tab w:val="right" w:pos="9072"/>
      </w:tabs>
      <w:spacing w:after="0"/>
    </w:pPr>
  </w:style>
  <w:style w:type="character" w:customStyle="1" w:styleId="SidhuvudChar">
    <w:name w:val="Sidhuvud Char"/>
    <w:basedOn w:val="Standardstycketeckensnitt"/>
    <w:link w:val="Sidhuvud"/>
    <w:uiPriority w:val="99"/>
    <w:rsid w:val="00BD5A72"/>
  </w:style>
  <w:style w:type="paragraph" w:styleId="Sidfot">
    <w:name w:val="footer"/>
    <w:basedOn w:val="Normal"/>
    <w:link w:val="SidfotChar"/>
    <w:uiPriority w:val="99"/>
    <w:unhideWhenUsed/>
    <w:rsid w:val="00BD5A72"/>
    <w:pPr>
      <w:tabs>
        <w:tab w:val="center" w:pos="4536"/>
        <w:tab w:val="right" w:pos="9072"/>
      </w:tabs>
      <w:spacing w:after="0"/>
    </w:pPr>
  </w:style>
  <w:style w:type="character" w:customStyle="1" w:styleId="SidfotChar">
    <w:name w:val="Sidfot Char"/>
    <w:basedOn w:val="Standardstycketeckensnitt"/>
    <w:link w:val="Sidfot"/>
    <w:uiPriority w:val="99"/>
    <w:rsid w:val="00BD5A72"/>
  </w:style>
  <w:style w:type="paragraph" w:styleId="Fotnotstext">
    <w:name w:val="footnote text"/>
    <w:basedOn w:val="Normal"/>
    <w:link w:val="FotnotstextChar"/>
    <w:uiPriority w:val="99"/>
    <w:semiHidden/>
    <w:unhideWhenUsed/>
    <w:rsid w:val="00BD5A72"/>
    <w:pPr>
      <w:spacing w:after="0"/>
    </w:pPr>
    <w:rPr>
      <w:sz w:val="20"/>
      <w:szCs w:val="20"/>
    </w:rPr>
  </w:style>
  <w:style w:type="character" w:customStyle="1" w:styleId="FotnotstextChar">
    <w:name w:val="Fotnotstext Char"/>
    <w:basedOn w:val="Standardstycketeckensnitt"/>
    <w:link w:val="Fotnotstext"/>
    <w:uiPriority w:val="99"/>
    <w:semiHidden/>
    <w:rsid w:val="00BD5A72"/>
    <w:rPr>
      <w:sz w:val="20"/>
      <w:szCs w:val="20"/>
    </w:rPr>
  </w:style>
  <w:style w:type="character" w:styleId="Fotnotsreferens">
    <w:name w:val="footnote reference"/>
    <w:basedOn w:val="Standardstycketeckensnitt"/>
    <w:uiPriority w:val="99"/>
    <w:semiHidden/>
    <w:unhideWhenUsed/>
    <w:rsid w:val="00BD5A72"/>
    <w:rPr>
      <w:vertAlign w:val="superscript"/>
    </w:rPr>
  </w:style>
  <w:style w:type="paragraph" w:styleId="Ingetavstnd">
    <w:name w:val="No Spacing"/>
    <w:uiPriority w:val="1"/>
    <w:qFormat/>
    <w:rsid w:val="00BD5A72"/>
    <w:pPr>
      <w:spacing w:after="0"/>
    </w:pPr>
  </w:style>
  <w:style w:type="character" w:styleId="Stark">
    <w:name w:val="Strong"/>
    <w:basedOn w:val="Standardstycketeckensnitt"/>
    <w:uiPriority w:val="22"/>
    <w:qFormat/>
    <w:rsid w:val="009D12A7"/>
    <w:rPr>
      <w:b/>
      <w:bCs/>
    </w:rPr>
  </w:style>
  <w:style w:type="paragraph" w:styleId="Liststycke">
    <w:name w:val="List Paragraph"/>
    <w:basedOn w:val="Normal"/>
    <w:uiPriority w:val="34"/>
    <w:qFormat/>
    <w:rsid w:val="004C0212"/>
    <w:pPr>
      <w:ind w:left="720"/>
      <w:contextualSpacing/>
    </w:pPr>
  </w:style>
  <w:style w:type="paragraph" w:customStyle="1" w:styleId="Default">
    <w:name w:val="Default"/>
    <w:rsid w:val="00A14F2E"/>
    <w:pPr>
      <w:autoSpaceDE w:val="0"/>
      <w:autoSpaceDN w:val="0"/>
      <w:adjustRightInd w:val="0"/>
      <w:spacing w:after="0"/>
    </w:pPr>
    <w:rPr>
      <w:color w:val="000000"/>
    </w:rPr>
  </w:style>
  <w:style w:type="paragraph" w:customStyle="1" w:styleId="Pa0">
    <w:name w:val="Pa0"/>
    <w:basedOn w:val="Default"/>
    <w:next w:val="Default"/>
    <w:uiPriority w:val="99"/>
    <w:rsid w:val="00481687"/>
    <w:pPr>
      <w:spacing w:line="241" w:lineRule="atLeast"/>
    </w:pPr>
    <w:rPr>
      <w:rFonts w:ascii="Arial" w:hAnsi="Arial" w:cs="Arial"/>
      <w:color w:val="auto"/>
    </w:rPr>
  </w:style>
  <w:style w:type="character" w:customStyle="1" w:styleId="A1">
    <w:name w:val="A1"/>
    <w:uiPriority w:val="99"/>
    <w:rsid w:val="00481687"/>
    <w:rPr>
      <w:color w:val="000000"/>
      <w:sz w:val="22"/>
      <w:szCs w:val="22"/>
    </w:rPr>
  </w:style>
  <w:style w:type="paragraph" w:styleId="Ballongtext">
    <w:name w:val="Balloon Text"/>
    <w:basedOn w:val="Normal"/>
    <w:link w:val="BallongtextChar"/>
    <w:uiPriority w:val="99"/>
    <w:semiHidden/>
    <w:unhideWhenUsed/>
    <w:rsid w:val="00033BF6"/>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33BF6"/>
    <w:rPr>
      <w:rFonts w:ascii="Segoe UI" w:hAnsi="Segoe UI" w:cs="Segoe UI"/>
      <w:sz w:val="18"/>
      <w:szCs w:val="18"/>
    </w:rPr>
  </w:style>
  <w:style w:type="character" w:styleId="Hyperlnk">
    <w:name w:val="Hyperlink"/>
    <w:basedOn w:val="Standardstycketeckensnitt"/>
    <w:uiPriority w:val="99"/>
    <w:unhideWhenUsed/>
    <w:rsid w:val="00306016"/>
    <w:rPr>
      <w:color w:val="0000FF" w:themeColor="hyperlink"/>
      <w:u w:val="single"/>
    </w:rPr>
  </w:style>
  <w:style w:type="character" w:styleId="Olstomnmnande">
    <w:name w:val="Unresolved Mention"/>
    <w:basedOn w:val="Standardstycketeckensnitt"/>
    <w:uiPriority w:val="99"/>
    <w:semiHidden/>
    <w:unhideWhenUsed/>
    <w:rsid w:val="0030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ela.alverfors@regeringskansliet.s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esd.remisser@regeringskansliet.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emissvar@regeringskansliet.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E06BD10B3DF9448931D97C92C04A17" ma:contentTypeVersion="13" ma:contentTypeDescription="Create a new document." ma:contentTypeScope="" ma:versionID="f74c556fc4b3e8b103bef66ba8c76d35">
  <xsd:schema xmlns:xsd="http://www.w3.org/2001/XMLSchema" xmlns:xs="http://www.w3.org/2001/XMLSchema" xmlns:p="http://schemas.microsoft.com/office/2006/metadata/properties" xmlns:ns3="b43fe829-d46b-47c7-bfd0-f30e9bba5072" xmlns:ns4="294e98ad-c7aa-46d2-a09e-390b30fc05dd" targetNamespace="http://schemas.microsoft.com/office/2006/metadata/properties" ma:root="true" ma:fieldsID="9143c7fc04cc506db57a34a436736674" ns3:_="" ns4:_="">
    <xsd:import namespace="b43fe829-d46b-47c7-bfd0-f30e9bba5072"/>
    <xsd:import namespace="294e98ad-c7aa-46d2-a09e-390b30fc05dd"/>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fe829-d46b-47c7-bfd0-f30e9bba5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4e98ad-c7aa-46d2-a09e-390b30fc05d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9DC401-EE60-484C-9621-21EC2169D61B}">
  <ds:schemaRefs>
    <ds:schemaRef ds:uri="http://schemas.openxmlformats.org/officeDocument/2006/bibliography"/>
  </ds:schemaRefs>
</ds:datastoreItem>
</file>

<file path=customXml/itemProps2.xml><?xml version="1.0" encoding="utf-8"?>
<ds:datastoreItem xmlns:ds="http://schemas.openxmlformats.org/officeDocument/2006/customXml" ds:itemID="{0F1509E0-1FDB-4698-98D6-CCC0A786552B}">
  <ds:schemaRefs>
    <ds:schemaRef ds:uri="http://schemas.microsoft.com/sharepoint/v3/contenttype/forms"/>
  </ds:schemaRefs>
</ds:datastoreItem>
</file>

<file path=customXml/itemProps3.xml><?xml version="1.0" encoding="utf-8"?>
<ds:datastoreItem xmlns:ds="http://schemas.openxmlformats.org/officeDocument/2006/customXml" ds:itemID="{D5C966A3-3786-4B50-B238-FC3C18FC5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fe829-d46b-47c7-bfd0-f30e9bba5072"/>
    <ds:schemaRef ds:uri="294e98ad-c7aa-46d2-a09e-390b30fc05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9C1518-66CC-4EF3-8B44-1EE636D31D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1094</Words>
  <Characters>5803</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Nygårds, Pär</dc:creator>
  <cp:keywords/>
  <dc:description/>
  <cp:lastModifiedBy>David Bogerius</cp:lastModifiedBy>
  <cp:revision>2</cp:revision>
  <cp:lastPrinted>2021-05-06T08:28:00Z</cp:lastPrinted>
  <dcterms:created xsi:type="dcterms:W3CDTF">2021-05-07T11:18:00Z</dcterms:created>
  <dcterms:modified xsi:type="dcterms:W3CDTF">2021-05-07T11:18:00Z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0x010100B4E06BD10B3DF9448931D97C92C04A17</vt:lpwstr>
  </property>
</Properties>
</file>